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rFonts w:ascii="Calibri" w:hAnsi="Calibri"/>
          <w:b/>
          <w:color w:val="595959"/>
          <w:sz w:val="19"/>
        </w:rPr>
        <w:t>GMP CSV Controlled Document</w:t>
      </w:r>
    </w:p>
    <w:p>
      <w:pPr>
        <w:spacing w:after="80"/>
      </w:pPr>
      <w:r>
        <w:rPr>
          <w:rFonts w:ascii="Calibri" w:hAnsi="Calibri"/>
          <w:b/>
          <w:color w:val="0B2545"/>
          <w:sz w:val="44"/>
        </w:rPr>
        <w:t>Supplier Audit Report and CAPA</w:t>
      </w:r>
    </w:p>
    <w:p>
      <w:pPr>
        <w:spacing w:after="200"/>
      </w:pPr>
      <w:r>
        <w:rPr>
          <w:rFonts w:ascii="Calibri" w:hAnsi="Calibri"/>
          <w:color w:val="595959"/>
          <w:sz w:val="23"/>
        </w:rPr>
        <w:t>QCLabOne 2.0 QC Laboratory Digital Platform Replacement Project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2700"/>
        <w:gridCol w:w="6660"/>
      </w:tblGrid>
      <w:tr>
        <w:trPr>
          <w:tblHeader w:val="true"/>
        </w:trPr>
        <w:tc>
          <w:tcPr>
            <w:tcW w:type="dxa" w:w="2700"/>
            <w:shd w:fill="D9EA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Control Field</w:t>
            </w:r>
          </w:p>
        </w:tc>
        <w:tc>
          <w:tcPr>
            <w:tcW w:type="dxa" w:w="6660"/>
            <w:shd w:fill="D9EA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Value</w:t>
            </w:r>
          </w:p>
        </w:tc>
      </w:tr>
      <w:tr>
        <w:tc>
          <w:tcPr>
            <w:tcW w:type="dxa" w:w="2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Document number</w:t>
            </w:r>
          </w:p>
        </w:tc>
        <w:tc>
          <w:tcPr>
            <w:tcW w:type="dxa" w:w="6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QCL-2026-SAR-001</w:t>
            </w:r>
          </w:p>
        </w:tc>
      </w:tr>
      <w:tr>
        <w:tc>
          <w:tcPr>
            <w:tcW w:type="dxa" w:w="2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System</w:t>
            </w:r>
          </w:p>
        </w:tc>
        <w:tc>
          <w:tcPr>
            <w:tcW w:type="dxa" w:w="6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QCLabOne 2.0 LIMS/LES</w:t>
            </w:r>
          </w:p>
        </w:tc>
      </w:tr>
      <w:tr>
        <w:tc>
          <w:tcPr>
            <w:tcW w:type="dxa" w:w="2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Lifecycle phase</w:t>
            </w:r>
          </w:p>
        </w:tc>
        <w:tc>
          <w:tcPr>
            <w:tcW w:type="dxa" w:w="6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Supplier Management</w:t>
            </w:r>
          </w:p>
        </w:tc>
      </w:tr>
      <w:tr>
        <w:tc>
          <w:tcPr>
            <w:tcW w:type="dxa" w:w="2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Version</w:t>
            </w:r>
          </w:p>
        </w:tc>
        <w:tc>
          <w:tcPr>
            <w:tcW w:type="dxa" w:w="6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1.0</w:t>
            </w:r>
          </w:p>
        </w:tc>
      </w:tr>
      <w:tr>
        <w:tc>
          <w:tcPr>
            <w:tcW w:type="dxa" w:w="2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Effective/record date</w:t>
            </w:r>
          </w:p>
        </w:tc>
        <w:tc>
          <w:tcPr>
            <w:tcW w:type="dxa" w:w="6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2026-04-30</w:t>
            </w:r>
          </w:p>
        </w:tc>
      </w:tr>
      <w:tr>
        <w:tc>
          <w:tcPr>
            <w:tcW w:type="dxa" w:w="2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Status</w:t>
            </w:r>
          </w:p>
        </w:tc>
        <w:tc>
          <w:tcPr>
            <w:tcW w:type="dxa" w:w="6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Approved in fictional case</w:t>
            </w:r>
          </w:p>
        </w:tc>
      </w:tr>
    </w:tbl>
    <w:p>
      <w:pPr>
        <w:spacing w:after="80"/>
      </w:pP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shd w:fill="F7F9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color w:val="595959"/>
                <w:sz w:val="19"/>
              </w:rPr>
              <w:t>Use notice: This Markdown file is a fully populated fictional CSV training case. It is not an executed GMP record and does not replace company procedures, approved signatures, supplier evidence, or site-specific risk decisions.</w:t>
            </w:r>
          </w:p>
        </w:tc>
      </w:tr>
    </w:tbl>
    <w:p>
      <w:pPr>
        <w:spacing w:after="80"/>
      </w:pPr>
    </w:p>
    <w:p>
      <w:pPr>
        <w:pStyle w:val="Heading1"/>
      </w:pPr>
      <w:r>
        <w:t>Document control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2586"/>
        <w:gridCol w:w="6774"/>
      </w:tblGrid>
      <w:tr>
        <w:trPr>
          <w:tblHeader w:val="true"/>
        </w:trPr>
        <w:tc>
          <w:tcPr>
            <w:tcW w:type="dxa" w:w="2586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Field</w:t>
            </w:r>
          </w:p>
        </w:tc>
        <w:tc>
          <w:tcPr>
            <w:tcW w:type="dxa" w:w="6774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Value</w:t>
            </w:r>
          </w:p>
        </w:tc>
      </w:tr>
      <w:tr>
        <w:tc>
          <w:tcPr>
            <w:tcW w:type="dxa" w:w="25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Document number</w:t>
            </w:r>
          </w:p>
        </w:tc>
        <w:tc>
          <w:tcPr>
            <w:tcW w:type="dxa" w:w="677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QCL-2026-SAR-001</w:t>
            </w:r>
          </w:p>
        </w:tc>
      </w:tr>
      <w:tr>
        <w:tc>
          <w:tcPr>
            <w:tcW w:type="dxa" w:w="25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Company</w:t>
            </w:r>
          </w:p>
        </w:tc>
        <w:tc>
          <w:tcPr>
            <w:tcW w:type="dxa" w:w="677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NovaSterile Pharma Co., Ltd.</w:t>
            </w:r>
          </w:p>
        </w:tc>
      </w:tr>
      <w:tr>
        <w:tc>
          <w:tcPr>
            <w:tcW w:type="dxa" w:w="25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Site</w:t>
            </w:r>
          </w:p>
        </w:tc>
        <w:tc>
          <w:tcPr>
            <w:tcW w:type="dxa" w:w="677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Suzhou Sterile Products Manufacturing Site</w:t>
            </w:r>
          </w:p>
        </w:tc>
      </w:tr>
      <w:tr>
        <w:tc>
          <w:tcPr>
            <w:tcW w:type="dxa" w:w="25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Project</w:t>
            </w:r>
          </w:p>
        </w:tc>
        <w:tc>
          <w:tcPr>
            <w:tcW w:type="dxa" w:w="677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QCLabOne 2.0 QC Laboratory Digital Platform Replacement Project</w:t>
            </w:r>
          </w:p>
        </w:tc>
      </w:tr>
      <w:tr>
        <w:tc>
          <w:tcPr>
            <w:tcW w:type="dxa" w:w="25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System</w:t>
            </w:r>
          </w:p>
        </w:tc>
        <w:tc>
          <w:tcPr>
            <w:tcW w:type="dxa" w:w="677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QCLabOne 2.0 LIMS/LES</w:t>
            </w:r>
          </w:p>
        </w:tc>
      </w:tr>
      <w:tr>
        <w:tc>
          <w:tcPr>
            <w:tcW w:type="dxa" w:w="25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Lifecycle phase</w:t>
            </w:r>
          </w:p>
        </w:tc>
        <w:tc>
          <w:tcPr>
            <w:tcW w:type="dxa" w:w="677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Supplier Management</w:t>
            </w:r>
          </w:p>
        </w:tc>
      </w:tr>
      <w:tr>
        <w:tc>
          <w:tcPr>
            <w:tcW w:type="dxa" w:w="25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Version</w:t>
            </w:r>
          </w:p>
        </w:tc>
        <w:tc>
          <w:tcPr>
            <w:tcW w:type="dxa" w:w="677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1.0</w:t>
            </w:r>
          </w:p>
        </w:tc>
      </w:tr>
      <w:tr>
        <w:tc>
          <w:tcPr>
            <w:tcW w:type="dxa" w:w="25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Effective/record date</w:t>
            </w:r>
          </w:p>
        </w:tc>
        <w:tc>
          <w:tcPr>
            <w:tcW w:type="dxa" w:w="677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2026-04-30</w:t>
            </w:r>
          </w:p>
        </w:tc>
      </w:tr>
      <w:tr>
        <w:tc>
          <w:tcPr>
            <w:tcW w:type="dxa" w:w="25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Case status</w:t>
            </w:r>
          </w:p>
        </w:tc>
        <w:tc>
          <w:tcPr>
            <w:tcW w:type="dxa" w:w="677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Approved in fictional case</w:t>
            </w:r>
          </w:p>
        </w:tc>
      </w:tr>
    </w:tbl>
    <w:p>
      <w:pPr>
        <w:spacing w:after="80"/>
      </w:pPr>
    </w:p>
    <w:p>
      <w:pPr>
        <w:pStyle w:val="Heading1"/>
      </w:pPr>
      <w:r>
        <w:t>Governing references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000000"/>
          <w:sz w:val="22"/>
        </w:rPr>
        <w:t>China GMP (2010 Revision), Appendix: Computerised Systems (effective 1 December 2015)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000000"/>
          <w:sz w:val="22"/>
        </w:rPr>
        <w:t>China GMP (2010 Revision), Appendix: Qualification and Validation (effective 1 December 2015)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000000"/>
          <w:sz w:val="22"/>
        </w:rPr>
        <w:t>EU GMP Annex 11: Computerised Systems (2011)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000000"/>
          <w:sz w:val="22"/>
        </w:rPr>
        <w:t>EU GMP Annex 15: Qualification and Validation (2015)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000000"/>
          <w:sz w:val="22"/>
        </w:rPr>
        <w:t>21 CFR Part 11: Electronic Records; Electronic Signatures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000000"/>
          <w:sz w:val="22"/>
        </w:rPr>
        <w:t>FDA Guidance: Part 11, Electronic Records; Electronic Signatures — Scope and Application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000000"/>
          <w:sz w:val="22"/>
        </w:rPr>
        <w:t>PIC/S PI 041-1: Good Practices for Data Management and Integrity in Regulated GMP/GDP Environments (2021)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000000"/>
          <w:sz w:val="22"/>
        </w:rPr>
        <w:t>ISPE GAMP 5, Second Edition (2022), used as non-binding industry guidance</w:t>
      </w:r>
    </w:p>
    <w:p>
      <w:pPr>
        <w:pStyle w:val="Heading1"/>
      </w:pPr>
      <w:r>
        <w:t>1. Audit scope and method</w:t>
      </w:r>
    </w:p>
    <w:p>
      <w:pPr>
        <w:spacing w:after="120" w:line="300" w:lineRule="auto"/>
      </w:pPr>
      <w:r>
        <w:rPr>
          <w:rFonts w:ascii="Calibri" w:hAnsi="Calibri"/>
          <w:b w:val="0"/>
          <w:i w:val="0"/>
          <w:color w:val="000000"/>
          <w:sz w:val="22"/>
        </w:rPr>
        <w:t>A remote document review and on-site audit were conducted 2026-05-18 to 2026-05-20. Scope covered QMS, SDLC, validation, configuration management, cloud operations, data integrity, security, backup/DR, support, change notification, subcontractors and data return.</w:t>
      </w:r>
    </w:p>
    <w:p>
      <w:pPr>
        <w:pStyle w:val="Heading1"/>
      </w:pPr>
      <w:r>
        <w:t>2. Summary</w:t>
      </w:r>
    </w:p>
    <w:p>
      <w:pPr>
        <w:spacing w:after="120" w:line="300" w:lineRule="auto"/>
      </w:pPr>
      <w:r>
        <w:rPr>
          <w:rFonts w:ascii="Calibri" w:hAnsi="Calibri"/>
          <w:b w:val="0"/>
          <w:i w:val="0"/>
          <w:color w:val="000000"/>
          <w:sz w:val="22"/>
        </w:rPr>
        <w:t>The supplier demonstrated an established QMS and controlled product lifecycle. No critical or major finding was identified. Two minor findings and one observation were issued.</w:t>
      </w:r>
    </w:p>
    <w:p>
      <w:pPr>
        <w:pStyle w:val="Heading1"/>
      </w:pPr>
      <w:r>
        <w:t>3. Findings and CAPA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720"/>
        <w:gridCol w:w="720"/>
        <w:gridCol w:w="3300"/>
        <w:gridCol w:w="3300"/>
        <w:gridCol w:w="720"/>
        <w:gridCol w:w="600"/>
      </w:tblGrid>
      <w:tr>
        <w:trPr>
          <w:tblHeader w:val="true"/>
        </w:trPr>
        <w:tc>
          <w:tcPr>
            <w:tcW w:type="dxa" w:w="720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/>
                <w:color w:val="000000"/>
                <w:sz w:val="17"/>
              </w:rPr>
              <w:t>ID</w:t>
            </w:r>
          </w:p>
        </w:tc>
        <w:tc>
          <w:tcPr>
            <w:tcW w:type="dxa" w:w="720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7"/>
              </w:rPr>
              <w:t>Class</w:t>
            </w:r>
          </w:p>
        </w:tc>
        <w:tc>
          <w:tcPr>
            <w:tcW w:type="dxa" w:w="3300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7"/>
              </w:rPr>
              <w:t>Finding</w:t>
            </w:r>
          </w:p>
        </w:tc>
        <w:tc>
          <w:tcPr>
            <w:tcW w:type="dxa" w:w="3300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7"/>
              </w:rPr>
              <w:t>Supplier CAPA</w:t>
            </w:r>
          </w:p>
        </w:tc>
        <w:tc>
          <w:tcPr>
            <w:tcW w:type="dxa" w:w="720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7"/>
              </w:rPr>
              <w:t>Due</w:t>
            </w:r>
          </w:p>
        </w:tc>
        <w:tc>
          <w:tcPr>
            <w:tcW w:type="dxa" w:w="600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/>
                <w:color w:val="000000"/>
                <w:sz w:val="17"/>
              </w:rPr>
              <w:t>Status</w:t>
            </w:r>
          </w:p>
        </w:tc>
      </w:tr>
      <w:tr>
        <w:tc>
          <w:tcPr>
            <w:tcW w:type="dxa" w:w="7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SA-F-01</w:t>
            </w:r>
          </w:p>
        </w:tc>
        <w:tc>
          <w:tcPr>
            <w:tcW w:type="dxa" w:w="7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Minor</w:t>
            </w:r>
          </w:p>
        </w:tc>
        <w:tc>
          <w:tcPr>
            <w:tcW w:type="dxa" w:w="33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DR exercise report did not include application-level data/retrieval verification after infrastructure failover.</w:t>
            </w:r>
          </w:p>
        </w:tc>
        <w:tc>
          <w:tcPr>
            <w:tcW w:type="dxa" w:w="33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Supplier to add application login, sample retrieval, audit trail and interface health checks to 2026 DR protocol.</w:t>
            </w:r>
          </w:p>
        </w:tc>
        <w:tc>
          <w:tcPr>
            <w:tcW w:type="dxa" w:w="7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2026-06-30</w:t>
            </w:r>
          </w:p>
        </w:tc>
        <w:tc>
          <w:tcPr>
            <w:tcW w:type="dxa" w:w="6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Closed 2026-06-18</w:t>
            </w:r>
          </w:p>
        </w:tc>
      </w:tr>
      <w:tr>
        <w:tc>
          <w:tcPr>
            <w:tcW w:type="dxa" w:w="7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SA-F-02</w:t>
            </w:r>
          </w:p>
        </w:tc>
        <w:tc>
          <w:tcPr>
            <w:tcW w:type="dxa" w:w="7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Minor</w:t>
            </w:r>
          </w:p>
        </w:tc>
        <w:tc>
          <w:tcPr>
            <w:tcW w:type="dxa" w:w="33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Privileged access review was quarterly; proposed QCLabOne agreement requires monthly review of customer-tenant access.</w:t>
            </w:r>
          </w:p>
        </w:tc>
        <w:tc>
          <w:tcPr>
            <w:tcW w:type="dxa" w:w="33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Implement monthly customer-tenant privileged review and provide quarterly summary.</w:t>
            </w:r>
          </w:p>
        </w:tc>
        <w:tc>
          <w:tcPr>
            <w:tcW w:type="dxa" w:w="7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2026-07-31</w:t>
            </w:r>
          </w:p>
        </w:tc>
        <w:tc>
          <w:tcPr>
            <w:tcW w:type="dxa" w:w="6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Closed 2026-07-20</w:t>
            </w:r>
          </w:p>
        </w:tc>
      </w:tr>
      <w:tr>
        <w:tc>
          <w:tcPr>
            <w:tcW w:type="dxa" w:w="7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SA-OBS-01</w:t>
            </w:r>
          </w:p>
        </w:tc>
        <w:tc>
          <w:tcPr>
            <w:tcW w:type="dxa" w:w="7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Observation</w:t>
            </w:r>
          </w:p>
        </w:tc>
        <w:tc>
          <w:tcPr>
            <w:tcW w:type="dxa" w:w="33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Release notes did not consistently distinguish security-only changes from functional changes.</w:t>
            </w:r>
          </w:p>
        </w:tc>
        <w:tc>
          <w:tcPr>
            <w:tcW w:type="dxa" w:w="33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Add release-note field for GxP/security/customer action.</w:t>
            </w:r>
          </w:p>
        </w:tc>
        <w:tc>
          <w:tcPr>
            <w:tcW w:type="dxa" w:w="7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2026-09-30</w:t>
            </w:r>
          </w:p>
        </w:tc>
        <w:tc>
          <w:tcPr>
            <w:tcW w:type="dxa" w:w="6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Closed 2026-09-10</w:t>
            </w:r>
          </w:p>
        </w:tc>
      </w:tr>
    </w:tbl>
    <w:p>
      <w:pPr>
        <w:spacing w:after="80"/>
      </w:pPr>
    </w:p>
    <w:p>
      <w:pPr>
        <w:pStyle w:val="Heading1"/>
      </w:pPr>
      <w:r>
        <w:t>4. Evidence verified</w:t>
      </w:r>
    </w:p>
    <w:p>
      <w:pPr>
        <w:spacing w:after="120" w:line="300" w:lineRule="auto"/>
      </w:pPr>
      <w:r>
        <w:rPr>
          <w:rFonts w:ascii="Calibri" w:hAnsi="Calibri"/>
          <w:b w:val="0"/>
          <w:i w:val="0"/>
          <w:color w:val="000000"/>
          <w:sz w:val="22"/>
        </w:rPr>
        <w:t>Quality manual; organisation chart; training matrix; SDLC procedures; sample requirements/design/code/test records; release 8.4.2 qualification summary; change/CAPA logs; access-control procedure; vulnerability process; backup/restore and DR reports; incident examples; subcontractor register; customer data-return procedure.</w:t>
      </w:r>
    </w:p>
    <w:p>
      <w:pPr>
        <w:pStyle w:val="Heading1"/>
      </w:pPr>
      <w:r>
        <w:t>5. Audit conclusion</w:t>
      </w:r>
    </w:p>
    <w:p>
      <w:pPr>
        <w:spacing w:after="120" w:line="300" w:lineRule="auto"/>
      </w:pPr>
      <w:r>
        <w:rPr>
          <w:rFonts w:ascii="Calibri" w:hAnsi="Calibri"/>
          <w:b w:val="0"/>
          <w:i w:val="0"/>
          <w:color w:val="000000"/>
          <w:sz w:val="22"/>
        </w:rPr>
        <w:t>Supplier qualification is approved after CAPA closure. The site will maintain annual performance review and may re-audit after significant ownership, hosting, QMS or adverse compliance change.</w:t>
      </w:r>
    </w:p>
    <w:p>
      <w:pPr>
        <w:spacing w:after="120" w:line="300" w:lineRule="auto"/>
      </w:pPr>
      <w:r>
        <w:rPr>
          <w:rFonts w:ascii="Calibri" w:hAnsi="Calibri"/>
          <w:b w:val="0"/>
          <w:i w:val="0"/>
          <w:color w:val="000000"/>
          <w:sz w:val="22"/>
        </w:rPr>
        <w:t>CAPA effectiveness shall be checked against objective evidence rather than supplier statement alone. Evidence may include revised procedures, completed training, sample defect records, updated traceability reports or demonstration during a follow-up meeting. Any CAPA that weakens confidence in leveraged testing shall be reflected in the Supplier Documentation Leveraging Assessment.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3004"/>
        <w:gridCol w:w="6356"/>
      </w:tblGrid>
      <w:tr>
        <w:trPr>
          <w:tblHeader w:val="true"/>
        </w:trPr>
        <w:tc>
          <w:tcPr>
            <w:tcW w:type="dxa" w:w="3004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Finding class</w:t>
            </w:r>
          </w:p>
        </w:tc>
        <w:tc>
          <w:tcPr>
            <w:tcW w:type="dxa" w:w="6356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Project impact rule</w:t>
            </w:r>
          </w:p>
        </w:tc>
      </w:tr>
      <w:tr>
        <w:tc>
          <w:tcPr>
            <w:tcW w:type="dxa" w:w="300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Critical</w:t>
            </w:r>
          </w:p>
        </w:tc>
        <w:tc>
          <w:tcPr>
            <w:tcW w:type="dxa" w:w="635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Supplier cannot be qualified until contained and QA disposition is approved</w:t>
            </w:r>
          </w:p>
        </w:tc>
      </w:tr>
      <w:tr>
        <w:tc>
          <w:tcPr>
            <w:tcW w:type="dxa" w:w="300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Major</w:t>
            </w:r>
          </w:p>
        </w:tc>
        <w:tc>
          <w:tcPr>
            <w:tcW w:type="dxa" w:w="635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Qualification may proceed with CAPA, owner, due date and affected evidence review</w:t>
            </w:r>
          </w:p>
        </w:tc>
      </w:tr>
      <w:tr>
        <w:tc>
          <w:tcPr>
            <w:tcW w:type="dxa" w:w="300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Minor</w:t>
            </w:r>
          </w:p>
        </w:tc>
        <w:tc>
          <w:tcPr>
            <w:tcW w:type="dxa" w:w="635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Track to closure through supplier oversight; no release block unless repeated</w:t>
            </w:r>
          </w:p>
        </w:tc>
      </w:tr>
      <w:tr>
        <w:tc>
          <w:tcPr>
            <w:tcW w:type="dxa" w:w="300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Observation</w:t>
            </w:r>
          </w:p>
        </w:tc>
        <w:tc>
          <w:tcPr>
            <w:tcW w:type="dxa" w:w="635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Consider for improvement and periodic supplier review</w:t>
            </w:r>
          </w:p>
        </w:tc>
      </w:tr>
    </w:tbl>
    <w:p>
      <w:pPr>
        <w:spacing w:after="80"/>
      </w:pPr>
    </w:p>
    <w:p>
      <w:pPr>
        <w:pStyle w:val="Heading1"/>
      </w:pPr>
      <w:r>
        <w:t>6. Related documents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2224"/>
        <w:gridCol w:w="2038"/>
        <w:gridCol w:w="5098"/>
      </w:tblGrid>
      <w:tr>
        <w:trPr>
          <w:tblHeader w:val="true"/>
        </w:trPr>
        <w:tc>
          <w:tcPr>
            <w:tcW w:type="dxa" w:w="2224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Relationship</w:t>
            </w:r>
          </w:p>
        </w:tc>
        <w:tc>
          <w:tcPr>
            <w:tcW w:type="dxa" w:w="2038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Document ID</w:t>
            </w:r>
          </w:p>
        </w:tc>
        <w:tc>
          <w:tcPr>
            <w:tcW w:type="dxa" w:w="5098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Document</w:t>
            </w:r>
          </w:p>
        </w:tc>
      </w:tr>
      <w:tr>
        <w:tc>
          <w:tcPr>
            <w:tcW w:type="dxa" w:w="2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Input</w:t>
            </w:r>
          </w:p>
        </w:tc>
        <w:tc>
          <w:tcPr>
            <w:tcW w:type="dxa" w:w="2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QCL-2026-SQA-001</w:t>
            </w:r>
          </w:p>
        </w:tc>
        <w:tc>
          <w:tcPr>
            <w:tcW w:type="dxa" w:w="5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[Supplier Qualification Assessment](018_Supplier_Qualification_Assessment.md)</w:t>
            </w:r>
          </w:p>
        </w:tc>
      </w:tr>
      <w:tr>
        <w:tc>
          <w:tcPr>
            <w:tcW w:type="dxa" w:w="2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Output</w:t>
            </w:r>
          </w:p>
        </w:tc>
        <w:tc>
          <w:tcPr>
            <w:tcW w:type="dxa" w:w="2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QCL-2026-QTA-001</w:t>
            </w:r>
          </w:p>
        </w:tc>
        <w:tc>
          <w:tcPr>
            <w:tcW w:type="dxa" w:w="5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[Quality/Technical Agreement and Service Level Agreement](020_Quality_Technical_Agreement_and_SLA.md)</w:t>
            </w:r>
          </w:p>
        </w:tc>
      </w:tr>
      <w:tr>
        <w:tc>
          <w:tcPr>
            <w:tcW w:type="dxa" w:w="2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Output</w:t>
            </w:r>
          </w:p>
        </w:tc>
        <w:tc>
          <w:tcPr>
            <w:tcW w:type="dxa" w:w="2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QCL-2026-SDL-001</w:t>
            </w:r>
          </w:p>
        </w:tc>
        <w:tc>
          <w:tcPr>
            <w:tcW w:type="dxa" w:w="5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[Supplier Documentation Leveraging Assessment](021_Supplier_Documentation_Leveraging_Assessment.md)</w:t>
            </w:r>
          </w:p>
        </w:tc>
      </w:tr>
      <w:tr>
        <w:tc>
          <w:tcPr>
            <w:tcW w:type="dxa" w:w="2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Output</w:t>
            </w:r>
          </w:p>
        </w:tc>
        <w:tc>
          <w:tcPr>
            <w:tcW w:type="dxa" w:w="2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QCL-2028-SPR-001</w:t>
            </w:r>
          </w:p>
        </w:tc>
        <w:tc>
          <w:tcPr>
            <w:tcW w:type="dxa" w:w="5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[Supplier Periodic Performance and SLA Review](096_Supplier_Periodic_Performance_and_SLA_Review.md)</w:t>
            </w:r>
          </w:p>
        </w:tc>
      </w:tr>
    </w:tbl>
    <w:p>
      <w:pPr>
        <w:spacing w:after="80"/>
      </w:pPr>
    </w:p>
    <w:p>
      <w:pPr>
        <w:pStyle w:val="Heading1"/>
      </w:pPr>
      <w:r>
        <w:t>Approval record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3333"/>
        <w:gridCol w:w="2692"/>
        <w:gridCol w:w="3335"/>
      </w:tblGrid>
      <w:tr>
        <w:trPr>
          <w:tblHeader w:val="true"/>
        </w:trPr>
        <w:tc>
          <w:tcPr>
            <w:tcW w:type="dxa" w:w="3333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Approval step</w:t>
            </w:r>
          </w:p>
        </w:tc>
        <w:tc>
          <w:tcPr>
            <w:tcW w:type="dxa" w:w="2692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Role</w:t>
            </w:r>
          </w:p>
        </w:tc>
        <w:tc>
          <w:tcPr>
            <w:tcW w:type="dxa" w:w="3335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Case outcome</w:t>
            </w:r>
          </w:p>
        </w:tc>
      </w:tr>
      <w:tr>
        <w:tc>
          <w:tcPr>
            <w:tcW w:type="dxa" w:w="333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Prepared by</w:t>
            </w:r>
          </w:p>
        </w:tc>
        <w:tc>
          <w:tcPr>
            <w:tcW w:type="dxa" w:w="269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Supplier Quality Lead</w:t>
            </w:r>
          </w:p>
        </w:tc>
        <w:tc>
          <w:tcPr>
            <w:tcW w:type="dxa" w:w="333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Completed</w:t>
            </w:r>
          </w:p>
        </w:tc>
      </w:tr>
      <w:tr>
        <w:tc>
          <w:tcPr>
            <w:tcW w:type="dxa" w:w="333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Reviewed by</w:t>
            </w:r>
          </w:p>
        </w:tc>
        <w:tc>
          <w:tcPr>
            <w:tcW w:type="dxa" w:w="269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IT System Owner</w:t>
            </w:r>
          </w:p>
        </w:tc>
        <w:tc>
          <w:tcPr>
            <w:tcW w:type="dxa" w:w="333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Completed</w:t>
            </w:r>
          </w:p>
        </w:tc>
      </w:tr>
      <w:tr>
        <w:tc>
          <w:tcPr>
            <w:tcW w:type="dxa" w:w="333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Approved by</w:t>
            </w:r>
          </w:p>
        </w:tc>
        <w:tc>
          <w:tcPr>
            <w:tcW w:type="dxa" w:w="269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QA Validation Manager</w:t>
            </w:r>
          </w:p>
        </w:tc>
        <w:tc>
          <w:tcPr>
            <w:tcW w:type="dxa" w:w="333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Approved in fictional case</w:t>
            </w:r>
          </w:p>
        </w:tc>
      </w:tr>
    </w:tbl>
    <w:p>
      <w:pPr>
        <w:spacing w:after="80"/>
      </w:pPr>
    </w:p>
    <w:p>
      <w:pPr>
        <w:pStyle w:val="Heading1"/>
      </w:pPr>
      <w:r>
        <w:t>Revision history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2047"/>
        <w:gridCol w:w="1462"/>
        <w:gridCol w:w="5851"/>
      </w:tblGrid>
      <w:tr>
        <w:trPr>
          <w:tblHeader w:val="true"/>
        </w:trPr>
        <w:tc>
          <w:tcPr>
            <w:tcW w:type="dxa" w:w="2047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Version</w:t>
            </w:r>
          </w:p>
        </w:tc>
        <w:tc>
          <w:tcPr>
            <w:tcW w:type="dxa" w:w="1462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Date</w:t>
            </w:r>
          </w:p>
        </w:tc>
        <w:tc>
          <w:tcPr>
            <w:tcW w:type="dxa" w:w="5851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Change</w:t>
            </w:r>
          </w:p>
        </w:tc>
      </w:tr>
      <w:tr>
        <w:tc>
          <w:tcPr>
            <w:tcW w:type="dxa" w:w="204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1.0</w:t>
            </w:r>
          </w:p>
        </w:tc>
        <w:tc>
          <w:tcPr>
            <w:tcW w:type="dxa" w:w="14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2026-04-30</w:t>
            </w:r>
          </w:p>
        </w:tc>
        <w:tc>
          <w:tcPr>
            <w:tcW w:type="dxa" w:w="585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Initial approved fictional case version.</w:t>
            </w:r>
          </w:p>
        </w:tc>
      </w:tr>
    </w:tbl>
    <w:p>
      <w:pPr>
        <w:spacing w:after="80"/>
      </w:pP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rFonts w:ascii="Calibri" w:hAnsi="Calibri"/>
        <w:color w:val="595959"/>
        <w:sz w:val="17"/>
      </w:rPr>
      <w:t xml:space="preserve">QCL-2026-SAR-001 | Version 1.0 | Approved in fictional case | Page </w:t>
    </w:r>
    <w:r>
      <w:fldChar w:fldCharType="begin"/>
    </w:r>
    <w:r>
      <w:instrText xml:space="preserve"> PAGE </w:instrText>
    </w:r>
    <w:r>
      <w:fldChar w:fldCharType="separate"/>
    </w:r>
    <w:r>
      <w:rPr>
        <w:rFonts w:ascii="Calibri" w:hAnsi="Calibri"/>
        <w:color w:val="595959"/>
        <w:sz w:val="18"/>
      </w:rPr>
      <w:t>1</w:t>
    </w:r>
    <w:r>
      <w:fldChar w:fldCharType="end"/>
    </w:r>
    <w:r>
      <w:rPr>
        <w:rFonts w:ascii="Calibri" w:hAnsi="Calibri"/>
        <w:color w:val="595959"/>
        <w:sz w:val="17"/>
      </w:rPr>
      <w:t xml:space="preserve"> of </w:t>
    </w:r>
    <w:r>
      <w:fldChar w:fldCharType="begin"/>
    </w:r>
    <w:r>
      <w:instrText xml:space="preserve"> NUMPAGES </w:instrText>
    </w:r>
    <w:r>
      <w:fldChar w:fldCharType="separate"/>
    </w:r>
    <w:r>
      <w:rPr>
        <w:rFonts w:ascii="Calibri" w:hAnsi="Calibri"/>
        <w:color w:val="595959"/>
        <w:sz w:val="18"/>
      </w:rPr>
      <w:t>1</w:t>
    </w:r>
    <w:r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</w:pPr>
    <w:r/>
    <w:r>
      <w:rPr>
        <w:rFonts w:ascii="Calibri" w:hAnsi="Calibri"/>
        <w:b/>
        <w:color w:val="595959"/>
        <w:sz w:val="17"/>
      </w:rPr>
      <w:t>QCL-2026 | QCLabOne 2.0 LIMS/LES</w:t>
    </w:r>
    <w:r>
      <w:tab/>
    </w:r>
    <w:r>
      <w:rPr>
        <w:rFonts w:ascii="Calibri" w:hAnsi="Calibri"/>
        <w:color w:val="595959"/>
        <w:sz w:val="17"/>
      </w:rPr>
      <w:t>QCL-2026-SAR-001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 w:line="300" w:lineRule="auto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 w:line="300" w:lineRule="auto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 w:line="300" w:lineRule="auto"/>
      <w:outlineLvl w:val="2"/>
    </w:pPr>
    <w:rPr>
      <w:rFonts w:asciiTheme="majorHAnsi" w:eastAsiaTheme="majorEastAsia" w:hAnsiTheme="majorHAnsi" w:cstheme="majorBidi" w:ascii="Calibri" w:hAnsi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Supplier Audit Report and CAPA</dc:title>
  <dc:subject>GMP CSV controlled-document conversion</dc:subject>
  <dc:creator>CSV108 Markdown DOCX Converter</dc:creator>
  <cp:keywords>CSV, GMP, validation, DOCX, controlled document</cp:keywords>
  <dc:description>Converted from CSV108 Markdown source. Requires site-specific QA review before operational use.</dc:description>
  <cp:lastModifiedBy>CSV108 Markdown DOCX Converter</cp:lastModifiedBy>
  <cp:revision>1</cp:revision>
  <dcterms:created xsi:type="dcterms:W3CDTF">2026-06-19T09:00:00Z</dcterms:created>
  <dcterms:modified xsi:type="dcterms:W3CDTF">2026-06-19T09:00:00Z</dcterms:modified>
  <cp:category>GMP CSV</cp:category>
</cp:coreProperties>
</file>