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Calibri" w:hAnsi="Calibri"/>
          <w:b/>
          <w:color w:val="595959"/>
          <w:sz w:val="19"/>
        </w:rPr>
        <w:t>GMP CSV Controlled Document</w:t>
      </w:r>
    </w:p>
    <w:p>
      <w:pPr>
        <w:spacing w:after="80"/>
      </w:pPr>
      <w:r>
        <w:rPr>
          <w:rFonts w:ascii="Calibri" w:hAnsi="Calibri"/>
          <w:b/>
          <w:color w:val="0B2545"/>
          <w:sz w:val="44"/>
        </w:rPr>
        <w:t>Quality/Technical Agreement and Service Level Agreement</w:t>
      </w:r>
    </w:p>
    <w:p>
      <w:pPr>
        <w:spacing w:after="200"/>
      </w:pPr>
      <w:r>
        <w:rPr>
          <w:rFonts w:ascii="Calibri" w:hAnsi="Calibri"/>
          <w:color w:val="595959"/>
          <w:sz w:val="23"/>
        </w:rPr>
        <w:t>QCLabOne 2.0 QC Laboratory Digital Platform Replacement Project</w:t>
      </w:r>
    </w:p>
    <w:tbl>
      <w:tblPr>
        <w:tblStyle w:val="TableGrid"/>
        <w:tblW w:type="dxa" w:w="9360"/>
        <w:tblLayout w:type="fixed"/>
        <w:tblLook w:firstColumn="1" w:firstRow="1" w:lastColumn="0" w:lastRow="0" w:noHBand="0" w:noVBand="1" w:val="04A0"/>
        <w:tblInd w:w="120" w:type="dxa"/>
      </w:tblPr>
      <w:tblGrid>
        <w:gridCol w:w="2700"/>
        <w:gridCol w:w="6660"/>
      </w:tblGrid>
      <w:tr>
        <w:trPr>
          <w:tblHeader w:val="true"/>
        </w:trPr>
        <w:tc>
          <w:tcPr>
            <w:tcW w:type="dxa" w:w="2700"/>
            <w:shd w:fill="D9EAF7"/>
            <w:vAlign w:val="center"/>
            <w:tcMar>
              <w:top w:w="80" w:type="dxa"/>
              <w:bottom w:w="80" w:type="dxa"/>
              <w:start w:w="120" w:type="dxa"/>
              <w:end w:w="120" w:type="dxa"/>
            </w:tcMar>
          </w:tcPr>
          <w:p>
            <w:pPr>
              <w:spacing w:after="0" w:line="276" w:lineRule="auto"/>
            </w:pPr>
            <w:r/>
            <w:r>
              <w:rPr>
                <w:rFonts w:ascii="Calibri" w:hAnsi="Calibri"/>
                <w:b/>
                <w:color w:val="000000"/>
                <w:sz w:val="19"/>
              </w:rPr>
              <w:t>Control Field</w:t>
            </w:r>
          </w:p>
        </w:tc>
        <w:tc>
          <w:tcPr>
            <w:tcW w:type="dxa" w:w="6660"/>
            <w:shd w:fill="D9EAF7"/>
            <w:vAlign w:val="center"/>
            <w:tcMar>
              <w:top w:w="80" w:type="dxa"/>
              <w:bottom w:w="80" w:type="dxa"/>
              <w:start w:w="120" w:type="dxa"/>
              <w:end w:w="120" w:type="dxa"/>
            </w:tcMar>
          </w:tcPr>
          <w:p>
            <w:pPr>
              <w:spacing w:after="0" w:line="276" w:lineRule="auto"/>
            </w:pPr>
            <w:r/>
            <w:r>
              <w:rPr>
                <w:rFonts w:ascii="Calibri" w:hAnsi="Calibri"/>
                <w:b/>
                <w:color w:val="000000"/>
                <w:sz w:val="19"/>
              </w:rPr>
              <w:t>Value</w:t>
            </w:r>
          </w:p>
        </w:tc>
      </w:tr>
      <w:tr>
        <w:tc>
          <w:tcPr>
            <w:tcW w:type="dxa" w:w="2700"/>
            <w:vAlign w:val="center"/>
            <w:tcMar>
              <w:top w:w="80" w:type="dxa"/>
              <w:bottom w:w="80" w:type="dxa"/>
              <w:start w:w="120" w:type="dxa"/>
              <w:end w:w="120" w:type="dxa"/>
            </w:tcMar>
          </w:tcPr>
          <w:p>
            <w:pPr>
              <w:spacing w:after="0" w:line="276" w:lineRule="auto"/>
            </w:pPr>
            <w:r/>
            <w:r>
              <w:rPr>
                <w:rFonts w:ascii="Calibri" w:hAnsi="Calibri"/>
                <w:b/>
                <w:color w:val="000000"/>
                <w:sz w:val="19"/>
              </w:rPr>
              <w:t>Document number</w:t>
            </w:r>
          </w:p>
        </w:tc>
        <w:tc>
          <w:tcPr>
            <w:tcW w:type="dxa" w:w="6660"/>
            <w:vAlign w:val="center"/>
            <w:tcMar>
              <w:top w:w="80" w:type="dxa"/>
              <w:bottom w:w="80" w:type="dxa"/>
              <w:start w:w="120" w:type="dxa"/>
              <w:end w:w="120" w:type="dxa"/>
            </w:tcMar>
          </w:tcPr>
          <w:p>
            <w:pPr>
              <w:spacing w:after="0" w:line="276" w:lineRule="auto"/>
            </w:pPr>
            <w:r/>
            <w:r>
              <w:rPr>
                <w:rFonts w:ascii="Calibri" w:hAnsi="Calibri"/>
                <w:b w:val="0"/>
                <w:color w:val="000000"/>
                <w:sz w:val="19"/>
              </w:rPr>
              <w:t>QCL-2026-QTA-001</w:t>
            </w:r>
          </w:p>
        </w:tc>
      </w:tr>
      <w:tr>
        <w:tc>
          <w:tcPr>
            <w:tcW w:type="dxa" w:w="2700"/>
            <w:vAlign w:val="center"/>
            <w:tcMar>
              <w:top w:w="80" w:type="dxa"/>
              <w:bottom w:w="80" w:type="dxa"/>
              <w:start w:w="120" w:type="dxa"/>
              <w:end w:w="120" w:type="dxa"/>
            </w:tcMar>
          </w:tcPr>
          <w:p>
            <w:pPr>
              <w:spacing w:after="0" w:line="276" w:lineRule="auto"/>
            </w:pPr>
            <w:r/>
            <w:r>
              <w:rPr>
                <w:rFonts w:ascii="Calibri" w:hAnsi="Calibri"/>
                <w:b/>
                <w:color w:val="000000"/>
                <w:sz w:val="19"/>
              </w:rPr>
              <w:t>System</w:t>
            </w:r>
          </w:p>
        </w:tc>
        <w:tc>
          <w:tcPr>
            <w:tcW w:type="dxa" w:w="6660"/>
            <w:vAlign w:val="center"/>
            <w:tcMar>
              <w:top w:w="80" w:type="dxa"/>
              <w:bottom w:w="80" w:type="dxa"/>
              <w:start w:w="120" w:type="dxa"/>
              <w:end w:w="120" w:type="dxa"/>
            </w:tcMar>
          </w:tcPr>
          <w:p>
            <w:pPr>
              <w:spacing w:after="0" w:line="276" w:lineRule="auto"/>
            </w:pPr>
            <w:r/>
            <w:r>
              <w:rPr>
                <w:rFonts w:ascii="Calibri" w:hAnsi="Calibri"/>
                <w:b w:val="0"/>
                <w:color w:val="000000"/>
                <w:sz w:val="19"/>
              </w:rPr>
              <w:t>QCLabOne 2.0 LIMS/LES</w:t>
            </w:r>
          </w:p>
        </w:tc>
      </w:tr>
      <w:tr>
        <w:tc>
          <w:tcPr>
            <w:tcW w:type="dxa" w:w="2700"/>
            <w:vAlign w:val="center"/>
            <w:tcMar>
              <w:top w:w="80" w:type="dxa"/>
              <w:bottom w:w="80" w:type="dxa"/>
              <w:start w:w="120" w:type="dxa"/>
              <w:end w:w="120" w:type="dxa"/>
            </w:tcMar>
          </w:tcPr>
          <w:p>
            <w:pPr>
              <w:spacing w:after="0" w:line="276" w:lineRule="auto"/>
            </w:pPr>
            <w:r/>
            <w:r>
              <w:rPr>
                <w:rFonts w:ascii="Calibri" w:hAnsi="Calibri"/>
                <w:b/>
                <w:color w:val="000000"/>
                <w:sz w:val="19"/>
              </w:rPr>
              <w:t>Lifecycle phase</w:t>
            </w:r>
          </w:p>
        </w:tc>
        <w:tc>
          <w:tcPr>
            <w:tcW w:type="dxa" w:w="6660"/>
            <w:vAlign w:val="center"/>
            <w:tcMar>
              <w:top w:w="80" w:type="dxa"/>
              <w:bottom w:w="80" w:type="dxa"/>
              <w:start w:w="120" w:type="dxa"/>
              <w:end w:w="120" w:type="dxa"/>
            </w:tcMar>
          </w:tcPr>
          <w:p>
            <w:pPr>
              <w:spacing w:after="0" w:line="276" w:lineRule="auto"/>
            </w:pPr>
            <w:r/>
            <w:r>
              <w:rPr>
                <w:rFonts w:ascii="Calibri" w:hAnsi="Calibri"/>
                <w:b w:val="0"/>
                <w:color w:val="000000"/>
                <w:sz w:val="19"/>
              </w:rPr>
              <w:t>Supplier Management</w:t>
            </w:r>
          </w:p>
        </w:tc>
      </w:tr>
      <w:tr>
        <w:tc>
          <w:tcPr>
            <w:tcW w:type="dxa" w:w="2700"/>
            <w:vAlign w:val="center"/>
            <w:tcMar>
              <w:top w:w="80" w:type="dxa"/>
              <w:bottom w:w="80" w:type="dxa"/>
              <w:start w:w="120" w:type="dxa"/>
              <w:end w:w="120" w:type="dxa"/>
            </w:tcMar>
          </w:tcPr>
          <w:p>
            <w:pPr>
              <w:spacing w:after="0" w:line="276" w:lineRule="auto"/>
            </w:pPr>
            <w:r/>
            <w:r>
              <w:rPr>
                <w:rFonts w:ascii="Calibri" w:hAnsi="Calibri"/>
                <w:b/>
                <w:color w:val="000000"/>
                <w:sz w:val="19"/>
              </w:rPr>
              <w:t>Version</w:t>
            </w:r>
          </w:p>
        </w:tc>
        <w:tc>
          <w:tcPr>
            <w:tcW w:type="dxa" w:w="6660"/>
            <w:vAlign w:val="center"/>
            <w:tcMar>
              <w:top w:w="80" w:type="dxa"/>
              <w:bottom w:w="80" w:type="dxa"/>
              <w:start w:w="120" w:type="dxa"/>
              <w:end w:w="120" w:type="dxa"/>
            </w:tcMar>
          </w:tcPr>
          <w:p>
            <w:pPr>
              <w:spacing w:after="0" w:line="276" w:lineRule="auto"/>
            </w:pPr>
            <w:r/>
            <w:r>
              <w:rPr>
                <w:rFonts w:ascii="Calibri" w:hAnsi="Calibri"/>
                <w:b w:val="0"/>
                <w:color w:val="000000"/>
                <w:sz w:val="19"/>
              </w:rPr>
              <w:t>1.0</w:t>
            </w:r>
          </w:p>
        </w:tc>
      </w:tr>
      <w:tr>
        <w:tc>
          <w:tcPr>
            <w:tcW w:type="dxa" w:w="2700"/>
            <w:vAlign w:val="center"/>
            <w:tcMar>
              <w:top w:w="80" w:type="dxa"/>
              <w:bottom w:w="80" w:type="dxa"/>
              <w:start w:w="120" w:type="dxa"/>
              <w:end w:w="120" w:type="dxa"/>
            </w:tcMar>
          </w:tcPr>
          <w:p>
            <w:pPr>
              <w:spacing w:after="0" w:line="276" w:lineRule="auto"/>
            </w:pPr>
            <w:r/>
            <w:r>
              <w:rPr>
                <w:rFonts w:ascii="Calibri" w:hAnsi="Calibri"/>
                <w:b/>
                <w:color w:val="000000"/>
                <w:sz w:val="19"/>
              </w:rPr>
              <w:t>Effective/record date</w:t>
            </w:r>
          </w:p>
        </w:tc>
        <w:tc>
          <w:tcPr>
            <w:tcW w:type="dxa" w:w="6660"/>
            <w:vAlign w:val="center"/>
            <w:tcMar>
              <w:top w:w="80" w:type="dxa"/>
              <w:bottom w:w="80" w:type="dxa"/>
              <w:start w:w="120" w:type="dxa"/>
              <w:end w:w="120" w:type="dxa"/>
            </w:tcMar>
          </w:tcPr>
          <w:p>
            <w:pPr>
              <w:spacing w:after="0" w:line="276" w:lineRule="auto"/>
            </w:pPr>
            <w:r/>
            <w:r>
              <w:rPr>
                <w:rFonts w:ascii="Calibri" w:hAnsi="Calibri"/>
                <w:b w:val="0"/>
                <w:color w:val="000000"/>
                <w:sz w:val="19"/>
              </w:rPr>
              <w:t>2026-04-30</w:t>
            </w:r>
          </w:p>
        </w:tc>
      </w:tr>
      <w:tr>
        <w:tc>
          <w:tcPr>
            <w:tcW w:type="dxa" w:w="2700"/>
            <w:vAlign w:val="center"/>
            <w:tcMar>
              <w:top w:w="80" w:type="dxa"/>
              <w:bottom w:w="80" w:type="dxa"/>
              <w:start w:w="120" w:type="dxa"/>
              <w:end w:w="120" w:type="dxa"/>
            </w:tcMar>
          </w:tcPr>
          <w:p>
            <w:pPr>
              <w:spacing w:after="0" w:line="276" w:lineRule="auto"/>
            </w:pPr>
            <w:r/>
            <w:r>
              <w:rPr>
                <w:rFonts w:ascii="Calibri" w:hAnsi="Calibri"/>
                <w:b/>
                <w:color w:val="000000"/>
                <w:sz w:val="19"/>
              </w:rPr>
              <w:t>Status</w:t>
            </w:r>
          </w:p>
        </w:tc>
        <w:tc>
          <w:tcPr>
            <w:tcW w:type="dxa" w:w="6660"/>
            <w:vAlign w:val="center"/>
            <w:tcMar>
              <w:top w:w="80" w:type="dxa"/>
              <w:bottom w:w="80" w:type="dxa"/>
              <w:start w:w="120" w:type="dxa"/>
              <w:end w:w="120" w:type="dxa"/>
            </w:tcMar>
          </w:tcPr>
          <w:p>
            <w:pPr>
              <w:spacing w:after="0" w:line="276" w:lineRule="auto"/>
            </w:pPr>
            <w:r/>
            <w:r>
              <w:rPr>
                <w:rFonts w:ascii="Calibri" w:hAnsi="Calibri"/>
                <w:b w:val="0"/>
                <w:color w:val="000000"/>
                <w:sz w:val="19"/>
              </w:rPr>
              <w:t>Approved in fictional case</w:t>
            </w:r>
          </w:p>
        </w:tc>
      </w:tr>
    </w:tbl>
    <w:p>
      <w:pPr>
        <w:spacing w:after="80"/>
      </w:pPr>
    </w:p>
    <w:tbl>
      <w:tblPr>
        <w:tblStyle w:val="TableGrid"/>
        <w:tblW w:type="dxa" w:w="9360"/>
        <w:tblLayout w:type="fixed"/>
        <w:tblLook w:firstColumn="1" w:firstRow="1" w:lastColumn="0" w:lastRow="0" w:noHBand="0" w:noVBand="1" w:val="04A0"/>
        <w:tblInd w:w="120" w:type="dxa"/>
      </w:tblPr>
      <w:tblGrid>
        <w:gridCol w:w="9360"/>
      </w:tblGrid>
      <w:tr>
        <w:tc>
          <w:tcPr>
            <w:tcW w:type="dxa" w:w="9360"/>
            <w:shd w:fill="F7F9FC"/>
            <w:vAlign w:val="center"/>
            <w:tcMar>
              <w:top w:w="80" w:type="dxa"/>
              <w:bottom w:w="80" w:type="dxa"/>
              <w:start w:w="120" w:type="dxa"/>
              <w:end w:w="120" w:type="dxa"/>
            </w:tcMar>
          </w:tcPr>
          <w:p>
            <w:pPr>
              <w:spacing w:after="0" w:line="276" w:lineRule="auto"/>
            </w:pPr>
            <w:r/>
            <w:r>
              <w:rPr>
                <w:rFonts w:ascii="Calibri" w:hAnsi="Calibri"/>
                <w:b w:val="0"/>
                <w:color w:val="595959"/>
                <w:sz w:val="19"/>
              </w:rPr>
              <w:t>Use notice: This Markdown file is a fully populated fictional CSV training case. It is not an executed GMP record and does not replace company procedures, approved signatures, supplier evidence, or site-specific risk decisions.</w:t>
            </w:r>
          </w:p>
        </w:tc>
      </w:tr>
    </w:tbl>
    <w:p>
      <w:pPr>
        <w:spacing w:after="80"/>
      </w:pPr>
    </w:p>
    <w:p>
      <w:pPr>
        <w:pStyle w:val="Heading1"/>
      </w:pPr>
      <w:r>
        <w:t>Document control</w:t>
      </w:r>
    </w:p>
    <w:tbl>
      <w:tblPr>
        <w:tblStyle w:val="TableGrid"/>
        <w:tblW w:type="dxa" w:w="9360"/>
        <w:tblLayout w:type="fixed"/>
        <w:tblLook w:firstColumn="1" w:firstRow="1" w:lastColumn="0" w:lastRow="0" w:noHBand="0" w:noVBand="1" w:val="04A0"/>
        <w:tblInd w:w="120" w:type="dxa"/>
      </w:tblPr>
      <w:tblGrid>
        <w:gridCol w:w="2586"/>
        <w:gridCol w:w="6774"/>
      </w:tblGrid>
      <w:tr>
        <w:trPr>
          <w:tblHeader w:val="true"/>
        </w:trPr>
        <w:tc>
          <w:tcPr>
            <w:tcW w:type="dxa" w:w="2586"/>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Field</w:t>
            </w:r>
          </w:p>
        </w:tc>
        <w:tc>
          <w:tcPr>
            <w:tcW w:type="dxa" w:w="6774"/>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Value</w:t>
            </w:r>
          </w:p>
        </w:tc>
      </w:tr>
      <w:tr>
        <w:tc>
          <w:tcPr>
            <w:tcW w:type="dxa" w:w="258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Document number</w:t>
            </w:r>
          </w:p>
        </w:tc>
        <w:tc>
          <w:tcPr>
            <w:tcW w:type="dxa" w:w="677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QCL-2026-QTA-001</w:t>
            </w:r>
          </w:p>
        </w:tc>
      </w:tr>
      <w:tr>
        <w:tc>
          <w:tcPr>
            <w:tcW w:type="dxa" w:w="258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Company</w:t>
            </w:r>
          </w:p>
        </w:tc>
        <w:tc>
          <w:tcPr>
            <w:tcW w:type="dxa" w:w="677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NovaSterile Pharma Co., Ltd.</w:t>
            </w:r>
          </w:p>
        </w:tc>
      </w:tr>
      <w:tr>
        <w:tc>
          <w:tcPr>
            <w:tcW w:type="dxa" w:w="258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Site</w:t>
            </w:r>
          </w:p>
        </w:tc>
        <w:tc>
          <w:tcPr>
            <w:tcW w:type="dxa" w:w="677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Suzhou Sterile Products Manufacturing Site</w:t>
            </w:r>
          </w:p>
        </w:tc>
      </w:tr>
      <w:tr>
        <w:tc>
          <w:tcPr>
            <w:tcW w:type="dxa" w:w="258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Project</w:t>
            </w:r>
          </w:p>
        </w:tc>
        <w:tc>
          <w:tcPr>
            <w:tcW w:type="dxa" w:w="677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QCLabOne 2.0 QC Laboratory Digital Platform Replacement Project</w:t>
            </w:r>
          </w:p>
        </w:tc>
      </w:tr>
      <w:tr>
        <w:tc>
          <w:tcPr>
            <w:tcW w:type="dxa" w:w="258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System</w:t>
            </w:r>
          </w:p>
        </w:tc>
        <w:tc>
          <w:tcPr>
            <w:tcW w:type="dxa" w:w="677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QCLabOne 2.0 LIMS/LES</w:t>
            </w:r>
          </w:p>
        </w:tc>
      </w:tr>
      <w:tr>
        <w:tc>
          <w:tcPr>
            <w:tcW w:type="dxa" w:w="258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Lifecycle phase</w:t>
            </w:r>
          </w:p>
        </w:tc>
        <w:tc>
          <w:tcPr>
            <w:tcW w:type="dxa" w:w="677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Supplier Management</w:t>
            </w:r>
          </w:p>
        </w:tc>
      </w:tr>
      <w:tr>
        <w:tc>
          <w:tcPr>
            <w:tcW w:type="dxa" w:w="258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Version</w:t>
            </w:r>
          </w:p>
        </w:tc>
        <w:tc>
          <w:tcPr>
            <w:tcW w:type="dxa" w:w="677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1.0</w:t>
            </w:r>
          </w:p>
        </w:tc>
      </w:tr>
      <w:tr>
        <w:tc>
          <w:tcPr>
            <w:tcW w:type="dxa" w:w="258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Effective/record date</w:t>
            </w:r>
          </w:p>
        </w:tc>
        <w:tc>
          <w:tcPr>
            <w:tcW w:type="dxa" w:w="677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2026-04-30</w:t>
            </w:r>
          </w:p>
        </w:tc>
      </w:tr>
      <w:tr>
        <w:tc>
          <w:tcPr>
            <w:tcW w:type="dxa" w:w="258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Case status</w:t>
            </w:r>
          </w:p>
        </w:tc>
        <w:tc>
          <w:tcPr>
            <w:tcW w:type="dxa" w:w="677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Approved in fictional case</w:t>
            </w:r>
          </w:p>
        </w:tc>
      </w:tr>
    </w:tbl>
    <w:p>
      <w:pPr>
        <w:spacing w:after="80"/>
      </w:pPr>
    </w:p>
    <w:p>
      <w:pPr>
        <w:pStyle w:val="Heading1"/>
      </w:pPr>
      <w:r>
        <w:t>Governing references</w:t>
      </w:r>
    </w:p>
    <w:p>
      <w:pPr>
        <w:pStyle w:val="ListBullet"/>
        <w:spacing w:after="80" w:line="300" w:lineRule="auto"/>
      </w:pPr>
      <w:r>
        <w:rPr>
          <w:rFonts w:ascii="Calibri" w:hAnsi="Calibri"/>
          <w:color w:val="000000"/>
          <w:sz w:val="22"/>
        </w:rPr>
        <w:t>China GMP (2010 Revision), Appendix: Computerised Systems (effective 1 December 2015)</w:t>
      </w:r>
    </w:p>
    <w:p>
      <w:pPr>
        <w:pStyle w:val="ListBullet"/>
        <w:spacing w:after="80" w:line="300" w:lineRule="auto"/>
      </w:pPr>
      <w:r>
        <w:rPr>
          <w:rFonts w:ascii="Calibri" w:hAnsi="Calibri"/>
          <w:color w:val="000000"/>
          <w:sz w:val="22"/>
        </w:rPr>
        <w:t>China GMP (2010 Revision), Appendix: Qualification and Validation (effective 1 December 2015)</w:t>
      </w:r>
    </w:p>
    <w:p>
      <w:pPr>
        <w:pStyle w:val="ListBullet"/>
        <w:spacing w:after="80" w:line="300" w:lineRule="auto"/>
      </w:pPr>
      <w:r>
        <w:rPr>
          <w:rFonts w:ascii="Calibri" w:hAnsi="Calibri"/>
          <w:color w:val="000000"/>
          <w:sz w:val="22"/>
        </w:rPr>
        <w:t>EU GMP Annex 11: Computerised Systems (2011)</w:t>
      </w:r>
    </w:p>
    <w:p>
      <w:pPr>
        <w:pStyle w:val="ListBullet"/>
        <w:spacing w:after="80" w:line="300" w:lineRule="auto"/>
      </w:pPr>
      <w:r>
        <w:rPr>
          <w:rFonts w:ascii="Calibri" w:hAnsi="Calibri"/>
          <w:color w:val="000000"/>
          <w:sz w:val="22"/>
        </w:rPr>
        <w:t>EU GMP Annex 15: Qualification and Validation (2015)</w:t>
      </w:r>
    </w:p>
    <w:p>
      <w:pPr>
        <w:pStyle w:val="ListBullet"/>
        <w:spacing w:after="80" w:line="300" w:lineRule="auto"/>
      </w:pPr>
      <w:r>
        <w:rPr>
          <w:rFonts w:ascii="Calibri" w:hAnsi="Calibri"/>
          <w:color w:val="000000"/>
          <w:sz w:val="22"/>
        </w:rPr>
        <w:t>21 CFR Part 11: Electronic Records; Electronic Signatures</w:t>
      </w:r>
    </w:p>
    <w:p>
      <w:pPr>
        <w:pStyle w:val="ListBullet"/>
        <w:spacing w:after="80" w:line="300" w:lineRule="auto"/>
      </w:pPr>
      <w:r>
        <w:rPr>
          <w:rFonts w:ascii="Calibri" w:hAnsi="Calibri"/>
          <w:color w:val="000000"/>
          <w:sz w:val="22"/>
        </w:rPr>
        <w:t>FDA Guidance: Part 11, Electronic Records; Electronic Signatures — Scope and Application</w:t>
      </w:r>
    </w:p>
    <w:p>
      <w:pPr>
        <w:pStyle w:val="ListBullet"/>
        <w:spacing w:after="80" w:line="300" w:lineRule="auto"/>
      </w:pPr>
      <w:r>
        <w:rPr>
          <w:rFonts w:ascii="Calibri" w:hAnsi="Calibri"/>
          <w:color w:val="000000"/>
          <w:sz w:val="22"/>
        </w:rPr>
        <w:t>PIC/S PI 041-1: Good Practices for Data Management and Integrity in Regulated GMP/GDP Environments (2021)</w:t>
      </w:r>
    </w:p>
    <w:p>
      <w:pPr>
        <w:pStyle w:val="ListBullet"/>
        <w:spacing w:after="80" w:line="300" w:lineRule="auto"/>
      </w:pPr>
      <w:r>
        <w:rPr>
          <w:rFonts w:ascii="Calibri" w:hAnsi="Calibri"/>
          <w:color w:val="000000"/>
          <w:sz w:val="22"/>
        </w:rPr>
        <w:t>ISPE GAMP 5, Second Edition (2022), used as non-binding industry guidance</w:t>
      </w:r>
    </w:p>
    <w:p>
      <w:pPr>
        <w:pStyle w:val="Heading1"/>
      </w:pPr>
      <w:r>
        <w:t>1. Agreement purpose</w:t>
      </w:r>
    </w:p>
    <w:p>
      <w:pPr>
        <w:spacing w:after="120" w:line="300" w:lineRule="auto"/>
      </w:pPr>
      <w:r>
        <w:rPr>
          <w:rFonts w:ascii="Calibri" w:hAnsi="Calibri"/>
          <w:b w:val="0"/>
          <w:i w:val="0"/>
          <w:color w:val="000000"/>
          <w:sz w:val="22"/>
        </w:rPr>
        <w:t>This document records the agreed quality, technical and service responsibilities between NovaSterile Pharma Co., Ltd. and LabSphere Technologies Ltd. for the QCLabOne service. The executed legal agreement controls; this record captures the CSV-relevant terms used by the fictional case.</w:t>
      </w:r>
    </w:p>
    <w:p>
      <w:pPr>
        <w:pStyle w:val="Heading1"/>
      </w:pPr>
      <w:r>
        <w:t>2. Responsibility matrix</w:t>
      </w:r>
    </w:p>
    <w:tbl>
      <w:tblPr>
        <w:tblStyle w:val="TableGrid"/>
        <w:tblW w:type="dxa" w:w="9360"/>
        <w:tblLayout w:type="fixed"/>
        <w:tblLook w:firstColumn="1" w:firstRow="1" w:lastColumn="0" w:lastRow="0" w:noHBand="0" w:noVBand="1" w:val="04A0"/>
        <w:tblInd w:w="120" w:type="dxa"/>
      </w:tblPr>
      <w:tblGrid>
        <w:gridCol w:w="3333"/>
        <w:gridCol w:w="2500"/>
        <w:gridCol w:w="3527"/>
      </w:tblGrid>
      <w:tr>
        <w:trPr>
          <w:tblHeader w:val="true"/>
        </w:trPr>
        <w:tc>
          <w:tcPr>
            <w:tcW w:type="dxa" w:w="3333"/>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Control</w:t>
            </w:r>
          </w:p>
        </w:tc>
        <w:tc>
          <w:tcPr>
            <w:tcW w:type="dxa" w:w="2500"/>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Company</w:t>
            </w:r>
          </w:p>
        </w:tc>
        <w:tc>
          <w:tcPr>
            <w:tcW w:type="dxa" w:w="3527"/>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Supplier</w:t>
            </w:r>
          </w:p>
        </w:tc>
      </w:tr>
      <w:tr>
        <w:tc>
          <w:tcPr>
            <w:tcW w:type="dxa" w:w="3333"/>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Intended use, URS and GxP risk</w:t>
            </w:r>
          </w:p>
        </w:tc>
        <w:tc>
          <w:tcPr>
            <w:tcW w:type="dxa" w:w="2500"/>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Accountable</w:t>
            </w:r>
          </w:p>
        </w:tc>
        <w:tc>
          <w:tcPr>
            <w:tcW w:type="dxa" w:w="3527"/>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Consulted</w:t>
            </w:r>
          </w:p>
        </w:tc>
      </w:tr>
      <w:tr>
        <w:tc>
          <w:tcPr>
            <w:tcW w:type="dxa" w:w="3333"/>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Standard product SDLC and release qualification</w:t>
            </w:r>
          </w:p>
        </w:tc>
        <w:tc>
          <w:tcPr>
            <w:tcW w:type="dxa" w:w="2500"/>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Reviews/leverages</w:t>
            </w:r>
          </w:p>
        </w:tc>
        <w:tc>
          <w:tcPr>
            <w:tcW w:type="dxa" w:w="3527"/>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Accountable</w:t>
            </w:r>
          </w:p>
        </w:tc>
      </w:tr>
      <w:tr>
        <w:tc>
          <w:tcPr>
            <w:tcW w:type="dxa" w:w="3333"/>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Site configuration approval</w:t>
            </w:r>
          </w:p>
        </w:tc>
        <w:tc>
          <w:tcPr>
            <w:tcW w:type="dxa" w:w="2500"/>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Accountable</w:t>
            </w:r>
          </w:p>
        </w:tc>
        <w:tc>
          <w:tcPr>
            <w:tcW w:type="dxa" w:w="3527"/>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Configures/provides evidence</w:t>
            </w:r>
          </w:p>
        </w:tc>
      </w:tr>
      <w:tr>
        <w:tc>
          <w:tcPr>
            <w:tcW w:type="dxa" w:w="3333"/>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Custom interface design/code/test</w:t>
            </w:r>
          </w:p>
        </w:tc>
        <w:tc>
          <w:tcPr>
            <w:tcW w:type="dxa" w:w="2500"/>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Approves and accepts</w:t>
            </w:r>
          </w:p>
        </w:tc>
        <w:tc>
          <w:tcPr>
            <w:tcW w:type="dxa" w:w="3527"/>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Responsible</w:t>
            </w:r>
          </w:p>
        </w:tc>
      </w:tr>
      <w:tr>
        <w:tc>
          <w:tcPr>
            <w:tcW w:type="dxa" w:w="3333"/>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Production hosting, database and platform monitoring</w:t>
            </w:r>
          </w:p>
        </w:tc>
        <w:tc>
          <w:tcPr>
            <w:tcW w:type="dxa" w:w="2500"/>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Oversight</w:t>
            </w:r>
          </w:p>
        </w:tc>
        <w:tc>
          <w:tcPr>
            <w:tcW w:type="dxa" w:w="3527"/>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Accountable</w:t>
            </w:r>
          </w:p>
        </w:tc>
      </w:tr>
      <w:tr>
        <w:tc>
          <w:tcPr>
            <w:tcW w:type="dxa" w:w="3333"/>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User access approval</w:t>
            </w:r>
          </w:p>
        </w:tc>
        <w:tc>
          <w:tcPr>
            <w:tcW w:type="dxa" w:w="2500"/>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Accountable</w:t>
            </w:r>
          </w:p>
        </w:tc>
        <w:tc>
          <w:tcPr>
            <w:tcW w:type="dxa" w:w="3527"/>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No access without request</w:t>
            </w:r>
          </w:p>
        </w:tc>
      </w:tr>
      <w:tr>
        <w:tc>
          <w:tcPr>
            <w:tcW w:type="dxa" w:w="3333"/>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Vendor remote access</w:t>
            </w:r>
          </w:p>
        </w:tc>
        <w:tc>
          <w:tcPr>
            <w:tcW w:type="dxa" w:w="2500"/>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Approves ticket/window; reviews session</w:t>
            </w:r>
          </w:p>
        </w:tc>
        <w:tc>
          <w:tcPr>
            <w:tcW w:type="dxa" w:w="3527"/>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Enforces time limit and records activity</w:t>
            </w:r>
          </w:p>
        </w:tc>
      </w:tr>
      <w:tr>
        <w:tc>
          <w:tcPr>
            <w:tcW w:type="dxa" w:w="3333"/>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Backup/DR</w:t>
            </w:r>
          </w:p>
        </w:tc>
        <w:tc>
          <w:tcPr>
            <w:tcW w:type="dxa" w:w="2500"/>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Defines requirements and reviews tests</w:t>
            </w:r>
          </w:p>
        </w:tc>
        <w:tc>
          <w:tcPr>
            <w:tcW w:type="dxa" w:w="3527"/>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Operates and demonstrates controls</w:t>
            </w:r>
          </w:p>
        </w:tc>
      </w:tr>
      <w:tr>
        <w:tc>
          <w:tcPr>
            <w:tcW w:type="dxa" w:w="3333"/>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Incident/security notification</w:t>
            </w:r>
          </w:p>
        </w:tc>
        <w:tc>
          <w:tcPr>
            <w:tcW w:type="dxa" w:w="2500"/>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Assesses GxP impact</w:t>
            </w:r>
          </w:p>
        </w:tc>
        <w:tc>
          <w:tcPr>
            <w:tcW w:type="dxa" w:w="3527"/>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Notifies and investigates</w:t>
            </w:r>
          </w:p>
        </w:tc>
      </w:tr>
      <w:tr>
        <w:tc>
          <w:tcPr>
            <w:tcW w:type="dxa" w:w="3333"/>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Change notification</w:t>
            </w:r>
          </w:p>
        </w:tc>
        <w:tc>
          <w:tcPr>
            <w:tcW w:type="dxa" w:w="2500"/>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Performs impact assessment</w:t>
            </w:r>
          </w:p>
        </w:tc>
        <w:tc>
          <w:tcPr>
            <w:tcW w:type="dxa" w:w="3527"/>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Provides notice/release evidence</w:t>
            </w:r>
          </w:p>
        </w:tc>
      </w:tr>
      <w:tr>
        <w:tc>
          <w:tcPr>
            <w:tcW w:type="dxa" w:w="3333"/>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Data ownership/retention</w:t>
            </w:r>
          </w:p>
        </w:tc>
        <w:tc>
          <w:tcPr>
            <w:tcW w:type="dxa" w:w="2500"/>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Accountable</w:t>
            </w:r>
          </w:p>
        </w:tc>
        <w:tc>
          <w:tcPr>
            <w:tcW w:type="dxa" w:w="3527"/>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Processes as instructed; no secondary use</w:t>
            </w:r>
          </w:p>
        </w:tc>
      </w:tr>
      <w:tr>
        <w:tc>
          <w:tcPr>
            <w:tcW w:type="dxa" w:w="3333"/>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Termination/data return</w:t>
            </w:r>
          </w:p>
        </w:tc>
        <w:tc>
          <w:tcPr>
            <w:tcW w:type="dxa" w:w="2500"/>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Accepts export and archive</w:t>
            </w:r>
          </w:p>
        </w:tc>
        <w:tc>
          <w:tcPr>
            <w:tcW w:type="dxa" w:w="3527"/>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Provides complete readable export and deletion certificate</w:t>
            </w:r>
          </w:p>
        </w:tc>
      </w:tr>
    </w:tbl>
    <w:p>
      <w:pPr>
        <w:spacing w:after="80"/>
      </w:pPr>
    </w:p>
    <w:p>
      <w:pPr>
        <w:pStyle w:val="Heading1"/>
      </w:pPr>
      <w:r>
        <w:t>3. Service levels</w:t>
      </w:r>
    </w:p>
    <w:tbl>
      <w:tblPr>
        <w:tblStyle w:val="TableGrid"/>
        <w:tblW w:type="dxa" w:w="9360"/>
        <w:tblLayout w:type="fixed"/>
        <w:tblLook w:firstColumn="1" w:firstRow="1" w:lastColumn="0" w:lastRow="0" w:noHBand="0" w:noVBand="1" w:val="04A0"/>
        <w:tblInd w:w="120" w:type="dxa"/>
      </w:tblPr>
      <w:tblGrid>
        <w:gridCol w:w="3883"/>
        <w:gridCol w:w="5477"/>
      </w:tblGrid>
      <w:tr>
        <w:trPr>
          <w:tblHeader w:val="true"/>
        </w:trPr>
        <w:tc>
          <w:tcPr>
            <w:tcW w:type="dxa" w:w="3883"/>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Service</w:t>
            </w:r>
          </w:p>
        </w:tc>
        <w:tc>
          <w:tcPr>
            <w:tcW w:type="dxa" w:w="5477"/>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Target</w:t>
            </w:r>
          </w:p>
        </w:tc>
      </w:tr>
      <w:tr>
        <w:tc>
          <w:tcPr>
            <w:tcW w:type="dxa" w:w="3883"/>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Production availability</w:t>
            </w:r>
          </w:p>
        </w:tc>
        <w:tc>
          <w:tcPr>
            <w:tcW w:type="dxa" w:w="5477"/>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≥99.9% monthly excluding approved maintenance</w:t>
            </w:r>
          </w:p>
        </w:tc>
      </w:tr>
      <w:tr>
        <w:tc>
          <w:tcPr>
            <w:tcW w:type="dxa" w:w="3883"/>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P1 acknowledgement</w:t>
            </w:r>
          </w:p>
        </w:tc>
        <w:tc>
          <w:tcPr>
            <w:tcW w:type="dxa" w:w="5477"/>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15 minutes, 24×7</w:t>
            </w:r>
          </w:p>
        </w:tc>
      </w:tr>
      <w:tr>
        <w:tc>
          <w:tcPr>
            <w:tcW w:type="dxa" w:w="3883"/>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P1 restoration/workaround target</w:t>
            </w:r>
          </w:p>
        </w:tc>
        <w:tc>
          <w:tcPr>
            <w:tcW w:type="dxa" w:w="5477"/>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4 hours</w:t>
            </w:r>
          </w:p>
        </w:tc>
      </w:tr>
      <w:tr>
        <w:tc>
          <w:tcPr>
            <w:tcW w:type="dxa" w:w="3883"/>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RPO/RTO</w:t>
            </w:r>
          </w:p>
        </w:tc>
        <w:tc>
          <w:tcPr>
            <w:tcW w:type="dxa" w:w="5477"/>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15 minutes / 8 hours for declared disaster</w:t>
            </w:r>
          </w:p>
        </w:tc>
      </w:tr>
      <w:tr>
        <w:tc>
          <w:tcPr>
            <w:tcW w:type="dxa" w:w="3883"/>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Planned maintenance notice</w:t>
            </w:r>
          </w:p>
        </w:tc>
        <w:tc>
          <w:tcPr>
            <w:tcW w:type="dxa" w:w="5477"/>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≥30 calendar days</w:t>
            </w:r>
          </w:p>
        </w:tc>
      </w:tr>
      <w:tr>
        <w:tc>
          <w:tcPr>
            <w:tcW w:type="dxa" w:w="3883"/>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Functional release notice</w:t>
            </w:r>
          </w:p>
        </w:tc>
        <w:tc>
          <w:tcPr>
            <w:tcW w:type="dxa" w:w="5477"/>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≥90 calendar days where practicable</w:t>
            </w:r>
          </w:p>
        </w:tc>
      </w:tr>
      <w:tr>
        <w:tc>
          <w:tcPr>
            <w:tcW w:type="dxa" w:w="3883"/>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Critical security incident notification</w:t>
            </w:r>
          </w:p>
        </w:tc>
        <w:tc>
          <w:tcPr>
            <w:tcW w:type="dxa" w:w="5477"/>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Within 4 hours of confirmed/suspected customer GxP impact</w:t>
            </w:r>
          </w:p>
        </w:tc>
      </w:tr>
      <w:tr>
        <w:tc>
          <w:tcPr>
            <w:tcW w:type="dxa" w:w="3883"/>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Critical vulnerability remediation</w:t>
            </w:r>
          </w:p>
        </w:tc>
        <w:tc>
          <w:tcPr>
            <w:tcW w:type="dxa" w:w="5477"/>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Risk-based; target 15 days, compensating control documented if longer</w:t>
            </w:r>
          </w:p>
        </w:tc>
      </w:tr>
      <w:tr>
        <w:tc>
          <w:tcPr>
            <w:tcW w:type="dxa" w:w="3883"/>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Data export after termination request</w:t>
            </w:r>
          </w:p>
        </w:tc>
        <w:tc>
          <w:tcPr>
            <w:tcW w:type="dxa" w:w="5477"/>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Within 30 days</w:t>
            </w:r>
          </w:p>
        </w:tc>
      </w:tr>
    </w:tbl>
    <w:p>
      <w:pPr>
        <w:spacing w:after="80"/>
      </w:pPr>
    </w:p>
    <w:p>
      <w:pPr>
        <w:pStyle w:val="Heading1"/>
      </w:pPr>
      <w:r>
        <w:t>4. Records and audit rights</w:t>
      </w:r>
    </w:p>
    <w:p>
      <w:pPr>
        <w:spacing w:after="120" w:line="300" w:lineRule="auto"/>
      </w:pPr>
      <w:r>
        <w:rPr>
          <w:rFonts w:ascii="Calibri" w:hAnsi="Calibri"/>
          <w:b w:val="0"/>
          <w:i w:val="0"/>
          <w:color w:val="000000"/>
          <w:sz w:val="22"/>
        </w:rPr>
        <w:t>Supplier shall retain product release evidence, access/session logs, incident/change records, backup/DR evidence and customer data-processing records for the contracted period and make relevant evidence available to the company and inspectors. The company may audit for cause or periodically based on risk.</w:t>
      </w:r>
    </w:p>
    <w:p>
      <w:pPr>
        <w:pStyle w:val="Heading1"/>
      </w:pPr>
      <w:r>
        <w:t>5. Escalation</w:t>
      </w:r>
    </w:p>
    <w:p>
      <w:pPr>
        <w:spacing w:after="120" w:line="300" w:lineRule="auto"/>
      </w:pPr>
      <w:r>
        <w:rPr>
          <w:rFonts w:ascii="Calibri" w:hAnsi="Calibri"/>
          <w:b w:val="0"/>
          <w:i w:val="0"/>
          <w:color w:val="000000"/>
          <w:sz w:val="22"/>
        </w:rPr>
        <w:t>P1 events escalate to Supplier Incident Commander, Company IT Duty Manager, System Owner and QA. Any potential data loss, unauthorised access, audit-trail failure or signature failure is treated as potential GxP impact until assessed.</w:t>
      </w:r>
    </w:p>
    <w:p>
      <w:pPr>
        <w:spacing w:after="120" w:line="300" w:lineRule="auto"/>
      </w:pPr>
      <w:r>
        <w:rPr>
          <w:rFonts w:ascii="Calibri" w:hAnsi="Calibri"/>
          <w:b w:val="0"/>
          <w:i w:val="0"/>
          <w:color w:val="000000"/>
          <w:sz w:val="22"/>
        </w:rPr>
        <w:t>The agreement also requires data-return and transition assistance at termination. The supplier shall provide an export of regulated records, metadata, audit trails, attachments and configuration evidence in an agreed readable format. NovaSterile retains the right to perform or commission an audit for significant incidents, major supplier changes or repeated service failures.</w:t>
      </w:r>
    </w:p>
    <w:tbl>
      <w:tblPr>
        <w:tblStyle w:val="TableGrid"/>
        <w:tblW w:type="dxa" w:w="9360"/>
        <w:tblLayout w:type="fixed"/>
        <w:tblLook w:firstColumn="1" w:firstRow="1" w:lastColumn="0" w:lastRow="0" w:noHBand="0" w:noVBand="1" w:val="04A0"/>
        <w:tblInd w:w="120" w:type="dxa"/>
      </w:tblPr>
      <w:tblGrid>
        <w:gridCol w:w="4410"/>
        <w:gridCol w:w="4950"/>
      </w:tblGrid>
      <w:tr>
        <w:trPr>
          <w:tblHeader w:val="true"/>
        </w:trPr>
        <w:tc>
          <w:tcPr>
            <w:tcW w:type="dxa" w:w="4410"/>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Notification type</w:t>
            </w:r>
          </w:p>
        </w:tc>
        <w:tc>
          <w:tcPr>
            <w:tcW w:type="dxa" w:w="4950"/>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Minimum supplier notification expectation</w:t>
            </w:r>
          </w:p>
        </w:tc>
      </w:tr>
      <w:tr>
        <w:tc>
          <w:tcPr>
            <w:tcW w:type="dxa" w:w="4410"/>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Suspected GxP data loss or compromise</w:t>
            </w:r>
          </w:p>
        </w:tc>
        <w:tc>
          <w:tcPr>
            <w:tcW w:type="dxa" w:w="4950"/>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Immediate notification, not later than four hours after confirmation</w:t>
            </w:r>
          </w:p>
        </w:tc>
      </w:tr>
      <w:tr>
        <w:tc>
          <w:tcPr>
            <w:tcW w:type="dxa" w:w="4410"/>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Critical security vulnerability affecting service</w:t>
            </w:r>
          </w:p>
        </w:tc>
        <w:tc>
          <w:tcPr>
            <w:tcW w:type="dxa" w:w="4950"/>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Within 24 hours with mitigation status and expected resolution</w:t>
            </w:r>
          </w:p>
        </w:tc>
      </w:tr>
      <w:tr>
        <w:tc>
          <w:tcPr>
            <w:tcW w:type="dxa" w:w="4410"/>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Planned production-impacting maintenance</w:t>
            </w:r>
          </w:p>
        </w:tc>
        <w:tc>
          <w:tcPr>
            <w:tcW w:type="dxa" w:w="4950"/>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At least 14 days unless emergency security action is required</w:t>
            </w:r>
          </w:p>
        </w:tc>
      </w:tr>
      <w:tr>
        <w:tc>
          <w:tcPr>
            <w:tcW w:type="dxa" w:w="4410"/>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Material product/platform change</w:t>
            </w:r>
          </w:p>
        </w:tc>
        <w:tc>
          <w:tcPr>
            <w:tcW w:type="dxa" w:w="4950"/>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Prior notice sufficient for site impact assessment before deployment</w:t>
            </w:r>
          </w:p>
        </w:tc>
      </w:tr>
      <w:tr>
        <w:tc>
          <w:tcPr>
            <w:tcW w:type="dxa" w:w="4410"/>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Service termination or data-return event</w:t>
            </w:r>
          </w:p>
        </w:tc>
        <w:tc>
          <w:tcPr>
            <w:tcW w:type="dxa" w:w="4950"/>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Agreed transition plan, export validation and retrieval support</w:t>
            </w:r>
          </w:p>
        </w:tc>
      </w:tr>
    </w:tbl>
    <w:p>
      <w:pPr>
        <w:spacing w:after="80"/>
      </w:pPr>
    </w:p>
    <w:p>
      <w:pPr>
        <w:pStyle w:val="Heading1"/>
      </w:pPr>
      <w:r>
        <w:t>6. Related documents</w:t>
      </w:r>
    </w:p>
    <w:tbl>
      <w:tblPr>
        <w:tblStyle w:val="TableGrid"/>
        <w:tblW w:type="dxa" w:w="9360"/>
        <w:tblLayout w:type="fixed"/>
        <w:tblLook w:firstColumn="1" w:firstRow="1" w:lastColumn="0" w:lastRow="0" w:noHBand="0" w:noVBand="1" w:val="04A0"/>
        <w:tblInd w:w="120" w:type="dxa"/>
      </w:tblPr>
      <w:tblGrid>
        <w:gridCol w:w="2224"/>
        <w:gridCol w:w="2038"/>
        <w:gridCol w:w="5098"/>
      </w:tblGrid>
      <w:tr>
        <w:trPr>
          <w:tblHeader w:val="true"/>
        </w:trPr>
        <w:tc>
          <w:tcPr>
            <w:tcW w:type="dxa" w:w="2224"/>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Relationship</w:t>
            </w:r>
          </w:p>
        </w:tc>
        <w:tc>
          <w:tcPr>
            <w:tcW w:type="dxa" w:w="2038"/>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Document ID</w:t>
            </w:r>
          </w:p>
        </w:tc>
        <w:tc>
          <w:tcPr>
            <w:tcW w:type="dxa" w:w="5098"/>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Document</w:t>
            </w:r>
          </w:p>
        </w:tc>
      </w:tr>
      <w:tr>
        <w:tc>
          <w:tcPr>
            <w:tcW w:type="dxa" w:w="22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Input</w:t>
            </w:r>
          </w:p>
        </w:tc>
        <w:tc>
          <w:tcPr>
            <w:tcW w:type="dxa" w:w="2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QCL-2026-SQA-001</w:t>
            </w:r>
          </w:p>
        </w:tc>
        <w:tc>
          <w:tcPr>
            <w:tcW w:type="dxa" w:w="50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[Supplier Qualification Assessment](018_Supplier_Qualification_Assessment.md)</w:t>
            </w:r>
          </w:p>
        </w:tc>
      </w:tr>
      <w:tr>
        <w:tc>
          <w:tcPr>
            <w:tcW w:type="dxa" w:w="22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Input</w:t>
            </w:r>
          </w:p>
        </w:tc>
        <w:tc>
          <w:tcPr>
            <w:tcW w:type="dxa" w:w="2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QCL-2026-SAR-001</w:t>
            </w:r>
          </w:p>
        </w:tc>
        <w:tc>
          <w:tcPr>
            <w:tcW w:type="dxa" w:w="50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[Supplier Audit Report and CAPA](019_Supplier_Audit_Report_and_CAPA.md)</w:t>
            </w:r>
          </w:p>
        </w:tc>
      </w:tr>
      <w:tr>
        <w:tc>
          <w:tcPr>
            <w:tcW w:type="dxa" w:w="22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Input</w:t>
            </w:r>
          </w:p>
        </w:tc>
        <w:tc>
          <w:tcPr>
            <w:tcW w:type="dxa" w:w="2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QCL-2026-CYB-001</w:t>
            </w:r>
          </w:p>
        </w:tc>
        <w:tc>
          <w:tcPr>
            <w:tcW w:type="dxa" w:w="50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[Cybersecurity and Privacy Impact Assessment](014_Cybersecurity_and_Privacy_Impact_Assessment.md)</w:t>
            </w:r>
          </w:p>
        </w:tc>
      </w:tr>
      <w:tr>
        <w:tc>
          <w:tcPr>
            <w:tcW w:type="dxa" w:w="22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Output</w:t>
            </w:r>
          </w:p>
        </w:tc>
        <w:tc>
          <w:tcPr>
            <w:tcW w:type="dxa" w:w="2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QCL-2026-SDL-001</w:t>
            </w:r>
          </w:p>
        </w:tc>
        <w:tc>
          <w:tcPr>
            <w:tcW w:type="dxa" w:w="50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[Supplier Documentation Leveraging Assessment](021_Supplier_Documentation_Leveraging_Assessment.md)</w:t>
            </w:r>
          </w:p>
        </w:tc>
      </w:tr>
      <w:tr>
        <w:tc>
          <w:tcPr>
            <w:tcW w:type="dxa" w:w="22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Output</w:t>
            </w:r>
          </w:p>
        </w:tc>
        <w:tc>
          <w:tcPr>
            <w:tcW w:type="dxa" w:w="2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QCL-2026-BCP-001</w:t>
            </w:r>
          </w:p>
        </w:tc>
        <w:tc>
          <w:tcPr>
            <w:tcW w:type="dxa" w:w="50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[Business Continuity and Disaster Recovery Plan](035_Business_Continuity_and_Disaster_Recovery_Plan.md)</w:t>
            </w:r>
          </w:p>
        </w:tc>
      </w:tr>
      <w:tr>
        <w:tc>
          <w:tcPr>
            <w:tcW w:type="dxa" w:w="22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Output</w:t>
            </w:r>
          </w:p>
        </w:tc>
        <w:tc>
          <w:tcPr>
            <w:tcW w:type="dxa" w:w="2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QCL-2026-HOV-001</w:t>
            </w:r>
          </w:p>
        </w:tc>
        <w:tc>
          <w:tcPr>
            <w:tcW w:type="dxa" w:w="50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[System Handover and Support Model](076_System_Handover_and_Support_Model.md)</w:t>
            </w:r>
          </w:p>
        </w:tc>
      </w:tr>
      <w:tr>
        <w:tc>
          <w:tcPr>
            <w:tcW w:type="dxa" w:w="22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Output</w:t>
            </w:r>
          </w:p>
        </w:tc>
        <w:tc>
          <w:tcPr>
            <w:tcW w:type="dxa" w:w="2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QCL-2028-SPR-001</w:t>
            </w:r>
          </w:p>
        </w:tc>
        <w:tc>
          <w:tcPr>
            <w:tcW w:type="dxa" w:w="50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[Supplier Periodic Performance and SLA Review](096_Supplier_Periodic_Performance_and_SLA_Review.md)</w:t>
            </w:r>
          </w:p>
        </w:tc>
      </w:tr>
    </w:tbl>
    <w:p>
      <w:pPr>
        <w:spacing w:after="80"/>
      </w:pPr>
    </w:p>
    <w:p>
      <w:pPr>
        <w:pStyle w:val="Heading1"/>
      </w:pPr>
      <w:r>
        <w:t>Approval record</w:t>
      </w:r>
    </w:p>
    <w:tbl>
      <w:tblPr>
        <w:tblStyle w:val="TableGrid"/>
        <w:tblW w:type="dxa" w:w="9360"/>
        <w:tblLayout w:type="fixed"/>
        <w:tblLook w:firstColumn="1" w:firstRow="1" w:lastColumn="0" w:lastRow="0" w:noHBand="0" w:noVBand="1" w:val="04A0"/>
        <w:tblInd w:w="120" w:type="dxa"/>
      </w:tblPr>
      <w:tblGrid>
        <w:gridCol w:w="3333"/>
        <w:gridCol w:w="2692"/>
        <w:gridCol w:w="3335"/>
      </w:tblGrid>
      <w:tr>
        <w:trPr>
          <w:tblHeader w:val="true"/>
        </w:trPr>
        <w:tc>
          <w:tcPr>
            <w:tcW w:type="dxa" w:w="3333"/>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Approval step</w:t>
            </w:r>
          </w:p>
        </w:tc>
        <w:tc>
          <w:tcPr>
            <w:tcW w:type="dxa" w:w="2692"/>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Role</w:t>
            </w:r>
          </w:p>
        </w:tc>
        <w:tc>
          <w:tcPr>
            <w:tcW w:type="dxa" w:w="3335"/>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Case outcome</w:t>
            </w:r>
          </w:p>
        </w:tc>
      </w:tr>
      <w:tr>
        <w:tc>
          <w:tcPr>
            <w:tcW w:type="dxa" w:w="3333"/>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Prepared by</w:t>
            </w:r>
          </w:p>
        </w:tc>
        <w:tc>
          <w:tcPr>
            <w:tcW w:type="dxa" w:w="2692"/>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Supplier Quality Lead</w:t>
            </w:r>
          </w:p>
        </w:tc>
        <w:tc>
          <w:tcPr>
            <w:tcW w:type="dxa" w:w="3335"/>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Completed</w:t>
            </w:r>
          </w:p>
        </w:tc>
      </w:tr>
      <w:tr>
        <w:tc>
          <w:tcPr>
            <w:tcW w:type="dxa" w:w="3333"/>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Reviewed by</w:t>
            </w:r>
          </w:p>
        </w:tc>
        <w:tc>
          <w:tcPr>
            <w:tcW w:type="dxa" w:w="2692"/>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IT System Owner</w:t>
            </w:r>
          </w:p>
        </w:tc>
        <w:tc>
          <w:tcPr>
            <w:tcW w:type="dxa" w:w="3335"/>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Completed</w:t>
            </w:r>
          </w:p>
        </w:tc>
      </w:tr>
      <w:tr>
        <w:tc>
          <w:tcPr>
            <w:tcW w:type="dxa" w:w="3333"/>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Approved by</w:t>
            </w:r>
          </w:p>
        </w:tc>
        <w:tc>
          <w:tcPr>
            <w:tcW w:type="dxa" w:w="2692"/>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QA Validation Manager</w:t>
            </w:r>
          </w:p>
        </w:tc>
        <w:tc>
          <w:tcPr>
            <w:tcW w:type="dxa" w:w="3335"/>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Approved in fictional case</w:t>
            </w:r>
          </w:p>
        </w:tc>
      </w:tr>
    </w:tbl>
    <w:p>
      <w:pPr>
        <w:spacing w:after="80"/>
      </w:pPr>
    </w:p>
    <w:p>
      <w:pPr>
        <w:pStyle w:val="Heading1"/>
      </w:pPr>
      <w:r>
        <w:t>Revision history</w:t>
      </w:r>
    </w:p>
    <w:tbl>
      <w:tblPr>
        <w:tblStyle w:val="TableGrid"/>
        <w:tblW w:type="dxa" w:w="9360"/>
        <w:tblLayout w:type="fixed"/>
        <w:tblLook w:firstColumn="1" w:firstRow="1" w:lastColumn="0" w:lastRow="0" w:noHBand="0" w:noVBand="1" w:val="04A0"/>
        <w:tblInd w:w="120" w:type="dxa"/>
      </w:tblPr>
      <w:tblGrid>
        <w:gridCol w:w="2047"/>
        <w:gridCol w:w="1462"/>
        <w:gridCol w:w="5851"/>
      </w:tblGrid>
      <w:tr>
        <w:trPr>
          <w:tblHeader w:val="true"/>
        </w:trPr>
        <w:tc>
          <w:tcPr>
            <w:tcW w:type="dxa" w:w="2047"/>
            <w:shd w:fill="E8EEF5"/>
            <w:vAlign w:val="center"/>
            <w:tcMar>
              <w:top w:w="80" w:type="dxa"/>
              <w:bottom w:w="80" w:type="dxa"/>
              <w:start w:w="120" w:type="dxa"/>
              <w:end w:w="120" w:type="dxa"/>
            </w:tcMar>
          </w:tcPr>
          <w:p>
            <w:pPr>
              <w:spacing w:after="0" w:line="276" w:lineRule="auto"/>
              <w:jc w:val="center"/>
            </w:pPr>
            <w:r/>
            <w:r>
              <w:rPr>
                <w:rFonts w:ascii="Calibri" w:hAnsi="Calibri"/>
                <w:b/>
                <w:color w:val="000000"/>
                <w:sz w:val="19"/>
              </w:rPr>
              <w:t>Version</w:t>
            </w:r>
          </w:p>
        </w:tc>
        <w:tc>
          <w:tcPr>
            <w:tcW w:type="dxa" w:w="1462"/>
            <w:shd w:fill="E8EEF5"/>
            <w:vAlign w:val="center"/>
            <w:tcMar>
              <w:top w:w="80" w:type="dxa"/>
              <w:bottom w:w="80" w:type="dxa"/>
              <w:start w:w="120" w:type="dxa"/>
              <w:end w:w="120" w:type="dxa"/>
            </w:tcMar>
          </w:tcPr>
          <w:p>
            <w:pPr>
              <w:spacing w:after="0" w:line="276" w:lineRule="auto"/>
              <w:jc w:val="center"/>
            </w:pPr>
            <w:r/>
            <w:r>
              <w:rPr>
                <w:rFonts w:ascii="Calibri" w:hAnsi="Calibri"/>
                <w:b/>
                <w:color w:val="000000"/>
                <w:sz w:val="19"/>
              </w:rPr>
              <w:t>Date</w:t>
            </w:r>
          </w:p>
        </w:tc>
        <w:tc>
          <w:tcPr>
            <w:tcW w:type="dxa" w:w="5851"/>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Change</w:t>
            </w:r>
          </w:p>
        </w:tc>
      </w:tr>
      <w:tr>
        <w:tc>
          <w:tcPr>
            <w:tcW w:type="dxa" w:w="2047"/>
            <w:vAlign w:val="center"/>
            <w:tcMar>
              <w:top w:w="80" w:type="dxa"/>
              <w:bottom w:w="80" w:type="dxa"/>
              <w:start w:w="120" w:type="dxa"/>
              <w:end w:w="120" w:type="dxa"/>
            </w:tcMar>
          </w:tcPr>
          <w:p>
            <w:pPr>
              <w:spacing w:after="0" w:line="276" w:lineRule="auto"/>
              <w:jc w:val="center"/>
            </w:pPr>
            <w:r/>
            <w:r>
              <w:rPr>
                <w:rFonts w:ascii="Calibri" w:hAnsi="Calibri"/>
                <w:b w:val="0"/>
                <w:color w:val="000000"/>
                <w:sz w:val="19"/>
              </w:rPr>
              <w:t>1.0</w:t>
            </w:r>
          </w:p>
        </w:tc>
        <w:tc>
          <w:tcPr>
            <w:tcW w:type="dxa" w:w="1462"/>
            <w:vAlign w:val="center"/>
            <w:tcMar>
              <w:top w:w="80" w:type="dxa"/>
              <w:bottom w:w="80" w:type="dxa"/>
              <w:start w:w="120" w:type="dxa"/>
              <w:end w:w="120" w:type="dxa"/>
            </w:tcMar>
          </w:tcPr>
          <w:p>
            <w:pPr>
              <w:spacing w:after="0" w:line="276" w:lineRule="auto"/>
              <w:jc w:val="center"/>
            </w:pPr>
            <w:r/>
            <w:r>
              <w:rPr>
                <w:rFonts w:ascii="Calibri" w:hAnsi="Calibri"/>
                <w:b w:val="0"/>
                <w:color w:val="000000"/>
                <w:sz w:val="19"/>
              </w:rPr>
              <w:t>2026-04-30</w:t>
            </w:r>
          </w:p>
        </w:tc>
        <w:tc>
          <w:tcPr>
            <w:tcW w:type="dxa" w:w="5851"/>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Initial approved fictional case version.</w:t>
            </w:r>
          </w:p>
        </w:tc>
      </w:tr>
    </w:tbl>
    <w:p>
      <w:pPr>
        <w:spacing w:after="80"/>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Calibri" w:hAnsi="Calibri"/>
        <w:color w:val="595959"/>
        <w:sz w:val="17"/>
      </w:rPr>
      <w:t xml:space="preserve">QCL-2026-QTA-001 | Version 1.0 | Approved in fictional case | Page </w:t>
    </w:r>
    <w:r>
      <w:fldChar w:fldCharType="begin"/>
    </w:r>
    <w:r>
      <w:instrText xml:space="preserve"> PAGE </w:instrText>
    </w:r>
    <w:r>
      <w:fldChar w:fldCharType="separate"/>
    </w:r>
    <w:r>
      <w:rPr>
        <w:rFonts w:ascii="Calibri" w:hAnsi="Calibri"/>
        <w:color w:val="595959"/>
        <w:sz w:val="18"/>
      </w:rPr>
      <w:t>1</w:t>
    </w:r>
    <w:r>
      <w:fldChar w:fldCharType="end"/>
    </w:r>
    <w:r>
      <w:rPr>
        <w:rFonts w:ascii="Calibri" w:hAnsi="Calibri"/>
        <w:color w:val="595959"/>
        <w:sz w:val="17"/>
      </w:rPr>
      <w:t xml:space="preserve"> of </w:t>
    </w:r>
    <w:r>
      <w:fldChar w:fldCharType="begin"/>
    </w:r>
    <w:r>
      <w:instrText xml:space="preserve"> NUMPAGES </w:instrText>
    </w:r>
    <w:r>
      <w:fldChar w:fldCharType="separate"/>
    </w:r>
    <w:r>
      <w:rPr>
        <w:rFonts w:ascii="Calibri" w:hAnsi="Calibri"/>
        <w:color w:val="595959"/>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rFonts w:ascii="Calibri" w:hAnsi="Calibri"/>
        <w:b/>
        <w:color w:val="595959"/>
        <w:sz w:val="17"/>
      </w:rPr>
      <w:t>QCL-2026 | QCLabOne 2.0 LIMS/LES</w:t>
    </w:r>
    <w:r>
      <w:tab/>
    </w:r>
    <w:r>
      <w:rPr>
        <w:rFonts w:ascii="Calibri" w:hAnsi="Calibri"/>
        <w:color w:val="595959"/>
        <w:sz w:val="17"/>
      </w:rPr>
      <w:t>QCL-2026-QTA-001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300" w:lineRule="auto"/>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300" w:lineRule="auto"/>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300" w:lineRule="auto"/>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Quality/Technical Agreement and Service Level Agreement</dc:title>
  <dc:subject>GMP CSV controlled-document conversion</dc:subject>
  <dc:creator>CSV108 Markdown DOCX Converter</dc:creator>
  <cp:keywords>CSV, GMP, validation, DOCX, controlled document</cp:keywords>
  <dc:description>Converted from CSV108 Markdown source. Requires site-specific QA review before operational use.</dc:description>
  <cp:lastModifiedBy>CSV108 Markdown DOCX Converter</cp:lastModifiedBy>
  <cp:revision>1</cp:revision>
  <dcterms:created xsi:type="dcterms:W3CDTF">2026-06-19T09:00:00Z</dcterms:created>
  <dcterms:modified xsi:type="dcterms:W3CDTF">2026-06-19T09:00:00Z</dcterms:modified>
  <cp:category>GMP CSV</cp:category>
</cp:coreProperties>
</file>