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User Requirements Specification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Requirements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2026-06-30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Requirements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2026-06-30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URS defines what the regulated users require from QCLabOne 2.0. Requirements describe intended outcomes and acceptance criteria without prescribing unnecessary implementation detail.</w:t>
      </w:r>
    </w:p>
    <w:p>
      <w:pPr>
        <w:pStyle w:val="Heading1"/>
      </w:pPr>
      <w:r>
        <w:t>2. Requirement conventions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Must requirements are mandatory for release. Should requirements may be deferred only by approved change and business/quality risk assessment. Every requirement is uniquely identified and traceable.</w:t>
      </w:r>
    </w:p>
    <w:p>
      <w:pPr>
        <w:pStyle w:val="Heading1"/>
      </w:pPr>
      <w:r>
        <w:t>3. Approved user requirements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41"/>
        <w:gridCol w:w="880"/>
        <w:gridCol w:w="3028"/>
        <w:gridCol w:w="880"/>
        <w:gridCol w:w="3031"/>
      </w:tblGrid>
      <w:tr>
        <w:trPr>
          <w:tblHeader w:val="true"/>
        </w:trPr>
        <w:tc>
          <w:tcPr>
            <w:tcW w:type="dxa" w:w="154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Requirement ID</w:t>
            </w:r>
          </w:p>
        </w:tc>
        <w:tc>
          <w:tcPr>
            <w:tcW w:type="dxa" w:w="8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Category</w:t>
            </w:r>
          </w:p>
        </w:tc>
        <w:tc>
          <w:tcPr>
            <w:tcW w:type="dxa" w:w="302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Requirement</w:t>
            </w:r>
          </w:p>
        </w:tc>
        <w:tc>
          <w:tcPr>
            <w:tcW w:type="dxa" w:w="8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Priority</w:t>
            </w:r>
          </w:p>
        </w:tc>
        <w:tc>
          <w:tcPr>
            <w:tcW w:type="dxa" w:w="303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Acceptance criterion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GEN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support GMP QC activities for chemistry, microbiology, stability and environmental monitoring at the Suzhou site.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workflows are available to each in-scope business area.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GEN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use a unique, non-reusable identifier for each sample, test assignment and approved record.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Duplicate identifiers are rejected and all records remain traceable.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GEN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display the application name, environment and version to authorized users.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Should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Production, test and training environments are visibly distinguishable.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GEN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retain date/time in China Standard Time and store a synchronized technical timestamp.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Timestamps reconcile to the approved time source within ±60 seconds.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URS-GEN-005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GEN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prevent use of unapproved configuration in production.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Only approved baseline items can be promoted through controlled release.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SMP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receive material, batch and sample-request data from SAP and create a pending sample request.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 valid SAP message creates one pending request with message ID and source data.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SMP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generate a unique sample ID and barcode when a request is accepted.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sample ID and barcode are unique and printable.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SMP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record sample receipt date/time, receiver, condition, quantity and location.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 receipt fields cannot be bypassed.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SMP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support aliquot, transfer, return, rejection, cancellation and disposal events with reason and user attribution.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Each event is time-stamped and audit-trailed.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URS-SMP-005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SMP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assign tests from the effective product/material specification and sampling plan.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Only the effective approved version is used.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URS-SMP-006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SMP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prevent completion of a sample while required tests or investigations remain open.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Completion is blocked with an explanatory message.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URS-SMP-007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SMP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display chain-of-custody history for each sample and aliquot.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All custody events are retrievable chronologically.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URS-SMP-008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SMP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support stability pull schedules and overdue alerts.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Should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Pull dates, windows and overdue status are calculated correctly.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SPEC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maintain version-controlled specifications, test methods and acceptance limits with effective dates.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Draft, approved, effective and obsolete states are enforced.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SPEC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Only authorized roles shall create, revise, approve or make a specification effective.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Unauthorized attempts are rejected and logged.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SPEC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 change to an effective specification shall not alter the historical version used by completed records.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Historical records continue to display the original version.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SPEC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support numeric, text, enumerated and qualitative result types.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Configured result types validate data and limits correctly.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URS-SPEC-005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SPEC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require documented approval before master data or specifications are promoted to production.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Promotion requires approved change and electronic approval.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present approved electronic laboratory execution steps in the defined sequence.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analyst can execute only the effective approved worksheet.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Mandatory fields and prerequisite steps shall be enforced before a step can be completed.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Omitted required data blocks completion.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record analyst observations, reagent, standard, instrument, lot and equipment references.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References are linked to the test record and retrievable.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support direct capture from configured balances, pH meters and TOC analyzers.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Transferred values include source device, date/time, unit and status.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URS-LES-005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Manual result entry shall require a reason and, for critical results, independent verification.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Manual entries are identifiable and require configured verification.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URS-LES-006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support pause, resume, abort and repeat-test workflows with controlled reasons.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Each action is recorded and follows configured authorization.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URS-LES-007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prevent an analyst from approving their own final result where second-person review is required.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Self-approval is blocked.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URS-LES-008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identify overdue work and workflow exceptions to supervisors.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Should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Dashboards and notifications show overdue items accurately.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execute approved formulas using controlled input values and units.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Calculated values match independently verified expected results.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apply approved significant figures and rounding rules.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Boundary examples produce the specified rounded result.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maintain calculation version and formula history.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Historical records identify the calculation version used.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evaluate results against effective limits and assign pass/fail or alert status.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Boundary, inclusive and exclusive limits are handled correctly.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URS-CALC-005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Changes to formulas or limit logic shall require change control, approval and regression testing.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Unapproved changes cannot reach production.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SAP interface shall receive sample requests and return inspection status and approved result disposition.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Bidirectional messages reconcile by unique message ID.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eQMS interface shall create OOS/OOT cases and receive the case identifier and status; CAPA creation is outside scope.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One LIMS event creates one eQMS case without duplication.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CDS/SDMS interface shall transfer approved numeric results, unit, sequence ID, method version and a stable record link; CDS remains the source of chromatographic raw data.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Transferred data matches the approved CDS result and link opens for authorized users.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Instrument interfaces shall reject malformed, duplicate or out-of-range messages and place them in an exception queue.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Exceptions are visible, attributable and reprocessable only by authorized roles.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URS-INT-005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All interfaces shall log send/receive time, source, destination, message ID, status and error text.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 and reconciliation reports are available.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URS-INT-006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support controlled manual contingency entry during an approved interface outage.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Should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Manual fallback is labeled and independently verified.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Users shall authenticate through the corporate identity service using unique individual accounts.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Shared accounts are rejected except approved technical accounts.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Role-based access shall follow least privilege and the approved access matrix.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Each role passes positive and negative access testing.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Privileged administration shall be separated from routine QC data approval.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production role can both administer configuration and approve final QC results.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Inactive sessions shall lock after 15 minutes and require re-authentication.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Session behavior meets the configured timeout.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URS-SEC-005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Account creation, change, disablement and privileged access shall be approved and logged.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Access records identify requester, approver, executor and date.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URS-SEC-006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Vendor remote access shall be time-limited, company-approved, monitored and disabled by default.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Remote sessions require a ticket and generate connection logs.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URS-SEC-007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Security events and failed logins shall be logged and reviewable.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Should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Reports show user, timestamp, source and event outcome.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maintain secure computer-generated audit trails for creation, modification, deletion, status change and approval of GxP records.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Challenge tests show complete old/new values, user and timestamp.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 reason for change shall be mandatory for changes to results, specifications, formulas, workflow status and critical master data.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record cannot be saved without an approved reason.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 trails shall be protected from alteration by ordinary users and administrators performing routine tasks.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tested role can edit or delete audit trail entries.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Authorized reviewers shall be able to filter, view and export audit trails without changing the source data.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Exported audit trail is complete and attributable.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URS-DI-005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preserve record context, metadata, attachments and links for the full retention period.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Archived records remain readable and retrievable.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URS-DI-006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Deletion or purge of GxP records shall be disabled except through an approved retention process with documented authorization.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Routine roles cannot permanently delete records.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URS-DI-007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transfers and migration shall be reconciled for completeness, accuracy and relationship integrity.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reconciliation criteria are met.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URS-DI-008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time shall be synchronized and time-zone changes shall be controlled and logged.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Time records align with the approved authoritative source.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ESIG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Electronic signatures shall be unique to one individual and linked to the signed record.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signature cannot be copied or detached through ordinary means.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ESIG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signature manifestation shall show signer name, date/time and meaning.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Printed and electronic views show all required elements.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ESIG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Critical signatures shall require re-entry of credentials or approved re-authentication.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 second authentication event is recorded.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ESIG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Signed records shall be invalidated or re-routed for approval when defined critical data changes after signature.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Post-signature changes trigger the configured workflow and audit trail.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generate controlled test reports and CoA-supporting data using approved templates.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Report content matches approved record data and template version.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Reports shall identify record ID, report version, generation date/time and generating user or service.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Metadata is visible on each output.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PDF export and printing shall preserve content, pagination, units and signature manifestations.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 confirms no truncation or data substitution.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Ad hoc data extracts used for GMP decisions shall be access-controlled and retain query criteria.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Should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extract records filters, date/time and requester.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BCP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Production data shall be backed up according to approved recovery objectives.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Backup logs meet frequency and retention requirements.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BCP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service shall support an RPO of 15 minutes and RTO of 8 hours for a declared disaster.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DR testing demonstrates approved objectives or documents justified deviations.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BCP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 tested restore process shall recover application data, configuration, audit trails and attachments.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Restored records reconcile to the selected backup point.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BCP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Business continuity procedures shall define manual sample receipt, result recording and later reconciliation during outage.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 tabletop and technical exercise demonstrate the fallback.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MIG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records selected for migration shall be mapped, transformed, reconciled and approved before production use.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Record counts, critical fields and relationships meet approved criteria.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MIG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Historical records not migrated shall be retained in a validated read-only archive with audit trail and attachment access.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Retrieval tests meet the approved sample plan.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MIG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Migration exceptions shall be documented, risk-assessed, resolved or accepted before go-live.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critical unresolved exception remains.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MIG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Source data shall remain protected and available until migration and archive acceptance are approved.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data is not altered or decommissioned early.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URS-OPS-001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system shall support periodic access review, audit trail review, backup monitoring, incident and change records.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 reports and evidence can be generated.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URS-OPS-002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supplier shall notify the company of planned changes, incidents and security events within agreed timelines.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SLA evidence demonstrates notification and escalation.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URS-OPS-003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The validated state shall be reviewed at least annually and after significant change or incident.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Periodic review evaluates current configuration, risks and records.</w:t>
            </w:r>
          </w:p>
        </w:tc>
      </w:tr>
      <w:tr>
        <w:tc>
          <w:tcPr>
            <w:tcW w:type="dxa" w:w="15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URS-OPS-004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OPS</w:t>
            </w:r>
          </w:p>
        </w:tc>
        <w:tc>
          <w:tcPr>
            <w:tcW w:type="dxa" w:w="30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retirement shall preserve required records and remove obsolete access and interfaces in a controlled manner.</w:t>
            </w:r>
          </w:p>
        </w:tc>
        <w:tc>
          <w:tcPr>
            <w:tcW w:type="dxa" w:w="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Must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 evidence confirms retention and decommissioning.</w:t>
            </w:r>
          </w:p>
        </w:tc>
      </w:tr>
    </w:tbl>
    <w:p>
      <w:pPr>
        <w:spacing w:after="80"/>
      </w:pPr>
    </w:p>
    <w:p>
      <w:pPr>
        <w:pStyle w:val="Heading1"/>
      </w:pPr>
      <w:r>
        <w:t>4. Category key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GEN—general; SMP—sample management; SPEC—specification/master data; LES—laboratory execution; CALC—calculation; INT—interface; SEC—security; DI—data integrity; ESIG—electronic signature; REP—reporting; BCP—continuity; MIG—migration; OPS—operation/retirement.</w:t>
      </w:r>
    </w:p>
    <w:p>
      <w:pPr>
        <w:pStyle w:val="Heading1"/>
      </w:pPr>
      <w:r>
        <w:t>5. Change control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After approval, changes require documented rationale, impact on risk/design/test/training/migration, version update and approval by the Business Process Owner with QA review.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Requirement quality is checked before approval. Each Must requirement shall be uniquely identified, testable, unambiguous, traceable to intended use or risk, and assigned to a verification approach. Requirements that describe a policy expectation rather than system behavior shall identify the supporting SOP, training or operational evidence.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457"/>
        <w:gridCol w:w="4903"/>
      </w:tblGrid>
      <w:tr>
        <w:trPr>
          <w:tblHeader w:val="true"/>
        </w:trPr>
        <w:tc>
          <w:tcPr>
            <w:tcW w:type="dxa" w:w="445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Requirement quality check</w:t>
            </w:r>
          </w:p>
        </w:tc>
        <w:tc>
          <w:tcPr>
            <w:tcW w:type="dxa" w:w="49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Acceptance expectation</w:t>
            </w:r>
          </w:p>
        </w:tc>
      </w:tr>
      <w:tr>
        <w:tc>
          <w:tcPr>
            <w:tcW w:type="dxa" w:w="44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Testability</w:t>
            </w:r>
          </w:p>
        </w:tc>
        <w:tc>
          <w:tcPr>
            <w:tcW w:type="dxa" w:w="49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 reviewer can identify objective evidence for pass/fail or acceptance</w:t>
            </w:r>
          </w:p>
        </w:tc>
      </w:tr>
      <w:tr>
        <w:tc>
          <w:tcPr>
            <w:tcW w:type="dxa" w:w="44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Traceability</w:t>
            </w:r>
          </w:p>
        </w:tc>
        <w:tc>
          <w:tcPr>
            <w:tcW w:type="dxa" w:w="49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Link exists to intended use, process control, risk, regulation or business need</w:t>
            </w:r>
          </w:p>
        </w:tc>
      </w:tr>
      <w:tr>
        <w:tc>
          <w:tcPr>
            <w:tcW w:type="dxa" w:w="44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 clarity</w:t>
            </w:r>
          </w:p>
        </w:tc>
        <w:tc>
          <w:tcPr>
            <w:tcW w:type="dxa" w:w="49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The affected role or system actor is clear where user action is involved</w:t>
            </w:r>
          </w:p>
        </w:tc>
      </w:tr>
      <w:tr>
        <w:tc>
          <w:tcPr>
            <w:tcW w:type="dxa" w:w="44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 boundary</w:t>
            </w:r>
          </w:p>
        </w:tc>
        <w:tc>
          <w:tcPr>
            <w:tcW w:type="dxa" w:w="49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Official source, retention or interface boundary is clear where data are exchanged</w:t>
            </w:r>
          </w:p>
        </w:tc>
      </w:tr>
      <w:tr>
        <w:tc>
          <w:tcPr>
            <w:tcW w:type="dxa" w:w="44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Change impact</w:t>
            </w:r>
          </w:p>
        </w:tc>
        <w:tc>
          <w:tcPr>
            <w:tcW w:type="dxa" w:w="49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Downstream FS, configuration, test script and RTM updates can be identified</w:t>
            </w:r>
          </w:p>
        </w:tc>
      </w:tr>
    </w:tbl>
    <w:p>
      <w:pPr>
        <w:spacing w:after="80"/>
      </w:pP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Scope Statement](006_Project_Scope_Statement.md)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QCL-2026-IUS-001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Intended Use Statement](007_Intended_Use_Statement.md)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QCL-2026-BPD-001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Business Process Description](008_Business_Process_Description.md)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QCL-2026-GXP-001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GxP Impact Assessment](009_GxP_Impact_Assessment.md)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[Preliminary Risk Assessment](011_Preliminary_Risk_Assessment.md)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QCL-2026-ERES-001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[21 CFR Part 11 and EU Annex 11 Assessment](013_21_CFR_Part_11_and_EU_Annex_11_Assessment.md)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QCL-2026-CYB-001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and Privacy Impact Assessment](014_Cybersecurity_and_Privacy_Impact_Assessment.md)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QCL-2026-RFP-001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[RFI, RFP and Product Selection Record](017_RFI_RFP_and_Product_Selection_Record.md)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[Infrastructure and Architecture Design](026_Infrastructure_and_Architecture_Design.md)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 and Calculation Specification](029_Report_and_Calculation_Specification.md)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Data Specification](030_Master_Data_Specification.md)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Specification](032_Audit_Trail_Specification.md)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Specification](033_Electronic_Signature_Specification.md)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Mapping, Cleansing and Transformation Specification](037_Data_Mapping_Cleansing_and_Transformation_Specification.md)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[Initial Requirements Traceability Matrix](039_Initial_Requirements_Traceability_Matrix.md)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Test Report](055_Electronic_Signature_Test_Report.md)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[Report, Print and Export Verification Report](059_Report_Print_and_Export_Verification_Report.md)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[CAPA Record and Effectiveness Check](062_CAPA_Record_and_Effectiveness_Check.md)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2026-06-30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QCL-2026-URS-001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QCL-2026-URS-001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Requirements Specification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