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System Design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Design objectives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design separates regulated business logic, integration processing, identity, storage and long-term archive. It supports least privilege, immutable history, failure detection, reconciliation and recovery.</w:t>
      </w:r>
    </w:p>
    <w:p>
      <w:pPr>
        <w:pStyle w:val="Heading1"/>
      </w:pPr>
      <w:r>
        <w:t>2. Logical architecture</w:t>
      </w:r>
    </w:p>
    <w:p>
      <w:pPr>
        <w:spacing w:after="40"/>
      </w:pPr>
      <w:r>
        <w:rPr>
          <w:rFonts w:ascii="Calibri" w:hAnsi="Calibri"/>
          <w:b/>
          <w:color w:val="595959"/>
          <w:sz w:val="18"/>
        </w:rPr>
        <w:t>Diagram source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00000"/>
                <w:sz w:val="17"/>
              </w:rPr>
            </w:r>
            <w:r>
              <w:rPr>
                <w:rFonts w:ascii="Consolas" w:hAnsi="Consolas"/>
                <w:b w:val="0"/>
                <w:color w:val="000000"/>
                <w:sz w:val="17"/>
              </w:rPr>
              <w:t>flowchart LR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U[QC/QA users] --&gt;|HTTPS + SAML| W[QCLabOne Web Application]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ID[Corporate Identity] --&gt;|SAML claims| W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W --&gt; APP[Application Services]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APP --&gt; DB[(Managed PostgreSQL)]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APP --&gt; OBJ[(Encrypted Attachment Store)]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APP --&gt; AUD[(Protected Audit Store)]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SAP[SAP S/4HANA] &lt;--&gt; GW[QCL-IGW-01 Interface Gateway]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EQM[QualiTrack eQMS] &lt;--&gt; GW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CDS[ChromLink CDS/SDMS] --&gt; GW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INS[Balances, pH, TOC] --&gt; GW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GW &lt;--&gt; APP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APP --&gt; ARC[ArchiveVault]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DB --&gt; BAK[Backup/DR Platform]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OBJ --&gt; BAK</w:t>
            </w:r>
          </w:p>
        </w:tc>
      </w:tr>
    </w:tbl>
    <w:p>
      <w:pPr>
        <w:pStyle w:val="Heading1"/>
      </w:pPr>
      <w:r>
        <w:t>3. Design components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60"/>
        <w:gridCol w:w="440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Component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Design responsibility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Key control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Web/application tier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Supplier-managed clustered service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Environment/version banner, TLS, health monitoring, controlled deployment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Managed PostgreSQL service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Encryption, transaction integrity, point-in-time recovery, restricted administration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Attachment store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Encrypted object storage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Versioning, checksum and backup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store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Append-only protected service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routine update/delete; searchable export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gateway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On-site hardened virtual server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Protocol transformation, validation, idempotency, queue and reconciliation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Identity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Corporate SAML federation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Unique individual identity and approved role claims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ArchiveVault read-only repository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Manifest/checksum validation and long-term retrievability</w:t>
            </w:r>
          </w:p>
        </w:tc>
      </w:tr>
    </w:tbl>
    <w:p>
      <w:pPr>
        <w:spacing w:after="80"/>
      </w:pPr>
    </w:p>
    <w:p>
      <w:pPr>
        <w:pStyle w:val="Heading1"/>
      </w:pPr>
      <w:r>
        <w:t>4. Environment model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Development, supplier test, site validation, training and production environments are logically separated. Production data is not copied to lower environments unless masked and approved. Promotion follows DEV → TEST → VAL → PROD using signed release packages and checksums.</w:t>
      </w:r>
    </w:p>
    <w:p>
      <w:pPr>
        <w:pStyle w:val="Heading1"/>
      </w:pPr>
      <w:r>
        <w:t>5. Data and transaction design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Each business entity has a globally unique identifier and version. State-changing transactions are atomic. Failed interface processing does not create partial business records. Historical specification, method, calculation and role context is stored with or referenced by the regulated record.</w:t>
      </w:r>
    </w:p>
    <w:p>
      <w:pPr>
        <w:pStyle w:val="Heading1"/>
      </w:pPr>
      <w:r>
        <w:t>6. Security design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Authentication is federated; authorization is role-based. Service accounts are non-interactive. Privileged access is just-in-time. Secrets are stored in the approved vault. All external connections use authenticated encrypted protocols. No ordinary role has database or audit-store write access.</w:t>
      </w:r>
    </w:p>
    <w:p>
      <w:pPr>
        <w:pStyle w:val="Heading1"/>
      </w:pPr>
      <w:r>
        <w:t>7. Availability and recovery design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application runs on redundant nodes. Database replication and 15-minute RPO controls support DR. Gateway queues persist across restart. Monitoring covers availability, backlog, failed messages, certificate expiry, backup and time synchronization.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Design review shall confirm that GxP functions remain explainable to business and QA reviewers. Critical design decisions shall identify the affected requirement/risk, the selected design, rejected alternatives where material, validation evidence and operational monitoring needed to maintain the design in the validated state.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24"/>
        <w:gridCol w:w="5536"/>
      </w:tblGrid>
      <w:tr>
        <w:trPr>
          <w:tblHeader w:val="true"/>
        </w:trPr>
        <w:tc>
          <w:tcPr>
            <w:tcW w:type="dxa" w:w="38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Design review focus</w:t>
            </w:r>
          </w:p>
        </w:tc>
        <w:tc>
          <w:tcPr>
            <w:tcW w:type="dxa" w:w="55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Evidence expectation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integrity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Immutable history, version binding and protected audit storage are described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reliability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Retry, duplicate prevention, reconciliation and error ownership are described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 model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Identity, roles, service accounts, secrets and privileged access are bounded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Operational support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Monitoring, alerting, backup/restore and DR responsibilities are assigned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Maintainability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 and release packages can be promoted and verified without uncontrolled change</w:t>
            </w:r>
          </w:p>
        </w:tc>
      </w:tr>
    </w:tbl>
    <w:p>
      <w:pPr>
        <w:spacing w:after="80"/>
      </w:pPr>
    </w:p>
    <w:p>
      <w:pPr>
        <w:pStyle w:val="Heading1"/>
      </w:pPr>
      <w:r>
        <w:t>8.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