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Configuration Specification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specification defines the approved site configuration baseline. Values are promoted to production only through controlled release and are verified in OQ/PQ.</w:t>
      </w:r>
    </w:p>
    <w:p>
      <w:pPr>
        <w:pStyle w:val="Heading1"/>
      </w:pPr>
      <w:r>
        <w:t>2. Configuration parameters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94"/>
        <w:gridCol w:w="2066"/>
        <w:gridCol w:w="3342"/>
        <w:gridCol w:w="1215"/>
        <w:gridCol w:w="1643"/>
      </w:tblGrid>
      <w:tr>
        <w:trPr>
          <w:tblHeader w:val="true"/>
        </w:trPr>
        <w:tc>
          <w:tcPr>
            <w:tcW w:type="dxa" w:w="109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Config ID</w:t>
            </w:r>
          </w:p>
        </w:tc>
        <w:tc>
          <w:tcPr>
            <w:tcW w:type="dxa" w:w="206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Parameter</w:t>
            </w:r>
          </w:p>
        </w:tc>
        <w:tc>
          <w:tcPr>
            <w:tcW w:type="dxa" w:w="334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Approved value</w:t>
            </w:r>
          </w:p>
        </w:tc>
        <w:tc>
          <w:tcPr>
            <w:tcW w:type="dxa" w:w="121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Area</w:t>
            </w:r>
          </w:p>
        </w:tc>
        <w:tc>
          <w:tcPr>
            <w:tcW w:type="dxa" w:w="164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Control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CFG-GEN-001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environment label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 — GMP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System-wide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Change control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CFG-GEN-002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timezone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Asia/Shanghai; UTC+08:00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System-wide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IT/System Owner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CFG-GEN-003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Application language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English primary; Chinese labels for local master data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System-wide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Owner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CFG-SMP-001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 ID pattern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QCL-YYYY-NNNNNNN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 management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Locked after go-live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CFG-SMP-002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Barcode symbology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Code 128 with human-readable Sample ID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Printing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CFG-SMP-003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Receipt mandatory fields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Condition, quantity, unit, receiver, location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 receipt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CFG-SMP-004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Closure rule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All required tests complete; no open OOS/OOT/hold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Workflow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CFG-SPEC-001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Specification states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Draft → In Review → Approved → Effective → Obsolete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Master data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E-signature at approval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CFG-SPEC-002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Effective-date rule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backdating; emergency activation via deviation/change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Master data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CFG-LES-001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Manual critical value verification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 for assay, impurity, sterility, bioburden and EM excursions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LES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Independent reviewer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CFG-LES-002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Repeat-test permission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Supervisor and QA Investigation roles only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LES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Reason mandatory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CFG-CALC-001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Default rounding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Half-up at final result unless method-specific rule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Calculation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Method-specific overrides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CFG-CALC-002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Division-by-zero handling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Block calculation and raise exception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Calculation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CFG-INT-001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Message retry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 automated retries at 1/5/15 minutes; then exception queue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Interfaces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duplicate creation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CFG-INT-002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Message retention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Online 2 years; archive with incident/record if longer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Interfaces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Searchable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CFG-SEC-001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Authentication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Corporate SAML SSO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Unique account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CFG-SEC-002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Interactive local accounts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Disabled except two sealed break-glass accounts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Quarterly test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CFG-SEC-003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Session inactivity lock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 minutes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Re-authenticate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CFG-SEC-004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Vendor access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Disabled by default; max 8-hour approved window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MFA/session log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CFG-SEC-005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Failed-login lockout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 failures/15 minutes; 30-minute lock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Identity service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CFG-DI-001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Critical reason-for-change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Mandatory for result, limit, formula, spec, role, status and signature-impacting change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 trail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reason list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CFG-DI-002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 trail timezone/display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Stored UTC; displayed CST with offset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 trail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Immutable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CFG-ESIG-001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Signature meanings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Performed by; Reviewed by; Approved by; Rejected by; Cancelled by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Electronic signature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list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CFG-ESIG-002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Re-authentication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 for submit, review, approve, reject and cancel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Electronic signature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Password/MFA policy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CFG-REP-001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report footer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Record ID, template version, generated timestamp, page x of y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Reporting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CFG-BCP-001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Backup frequency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15-minute database PITR; nightly attachment/configuration backup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Continuity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Encrypted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CFG-BCP-002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RPO/RTO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 minutes / 8 hours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Continuity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Tier 1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CFG-OPS-001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Access review frequency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Quarterly all users; monthly privileged accounts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Operations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Owner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CFG-OPS-002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Audit-trail trend review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Quarterly; critical record review during approval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Operations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QA/QC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CFG-OPS-003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Periodic review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Annual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Operations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Due 2028-03-15</w:t>
            </w:r>
          </w:p>
        </w:tc>
      </w:tr>
      <w:tr>
        <w:tc>
          <w:tcPr>
            <w:tcW w:type="dxa" w:w="10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CFG-RET-001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archive mode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Read-only; no update/delete API</w:t>
            </w:r>
          </w:p>
        </w:tc>
        <w:tc>
          <w:tcPr>
            <w:tcW w:type="dxa" w:w="1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Archive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Records Management approval</w:t>
            </w:r>
          </w:p>
        </w:tc>
      </w:tr>
    </w:tbl>
    <w:p>
      <w:pPr>
        <w:spacing w:after="80"/>
      </w:pPr>
    </w:p>
    <w:p>
      <w:pPr>
        <w:pStyle w:val="Heading1"/>
      </w:pPr>
      <w:r>
        <w:t>3. Workflow configuration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11"/>
        <w:gridCol w:w="4219"/>
        <w:gridCol w:w="3530"/>
      </w:tblGrid>
      <w:tr>
        <w:trPr>
          <w:tblHeader w:val="true"/>
        </w:trPr>
        <w:tc>
          <w:tcPr>
            <w:tcW w:type="dxa" w:w="161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Workflow</w:t>
            </w:r>
          </w:p>
        </w:tc>
        <w:tc>
          <w:tcPr>
            <w:tcW w:type="dxa" w:w="421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States</w:t>
            </w:r>
          </w:p>
        </w:tc>
        <w:tc>
          <w:tcPr>
            <w:tcW w:type="dxa" w:w="353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Approval/segregation</w:t>
            </w:r>
          </w:p>
        </w:tc>
      </w:tr>
      <w:tr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Sample</w:t>
            </w:r>
          </w:p>
        </w:tc>
        <w:tc>
          <w:tcPr>
            <w:tcW w:type="dxa" w:w="42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Pending → Received → In Testing → Under Review → Approved/Rejected/Cancelled → Archived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Analyst cannot final-approve own work</w:t>
            </w:r>
          </w:p>
        </w:tc>
      </w:tr>
      <w:tr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</w:t>
            </w:r>
          </w:p>
        </w:tc>
        <w:tc>
          <w:tcPr>
            <w:tcW w:type="dxa" w:w="42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Assigned → In Progress → Submitted → Reviewed → Approved/Rejected/Invalidated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Repeat/retest requires authorised reason</w:t>
            </w:r>
          </w:p>
        </w:tc>
      </w:tr>
      <w:tr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Specification</w:t>
            </w:r>
          </w:p>
        </w:tc>
        <w:tc>
          <w:tcPr>
            <w:tcW w:type="dxa" w:w="42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Draft → In Review → Approved → Effective → Obsolete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Creator cannot make own version effective</w:t>
            </w:r>
          </w:p>
        </w:tc>
      </w:tr>
      <w:tr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OOS/OOT link</w:t>
            </w:r>
          </w:p>
        </w:tc>
        <w:tc>
          <w:tcPr>
            <w:tcW w:type="dxa" w:w="42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Detected → Case Pending → Case Open → Dispositioned → Closed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Result remains on hold until eQMS disposition</w:t>
            </w:r>
          </w:p>
        </w:tc>
      </w:tr>
      <w:tr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Configuration package</w:t>
            </w:r>
          </w:p>
        </w:tc>
        <w:tc>
          <w:tcPr>
            <w:tcW w:type="dxa" w:w="42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Draft → Reviewed → Approved → Promoted → Verified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Production promotion by separate administrator</w:t>
            </w:r>
          </w:p>
        </w:tc>
      </w:tr>
    </w:tbl>
    <w:p>
      <w:pPr>
        <w:spacing w:after="80"/>
      </w:pPr>
    </w:p>
    <w:p>
      <w:pPr>
        <w:pStyle w:val="Heading1"/>
      </w:pPr>
      <w:r>
        <w:t>4. Controlled reason lists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Result correction; transcription correction; instrument retransmission; unit correction; specification correction; workflow cancellation; authorised retest; administrative metadata correction; security/role change; interface reprocessing. “Other” requires free-text explanation and supervisor review.</w:t>
      </w:r>
    </w:p>
    <w:p>
      <w:pPr>
        <w:pStyle w:val="Heading1"/>
      </w:pPr>
      <w:r>
        <w:t>5. Baseline control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production baseline package is `QCL-PROD-BL-1.0`, checksum recorded in Document 077. Any parameter change after go-live requires change control, impact assessment and regression evidence.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Configuration items are risk classified before baseline approval. Critical items include role permissions, workflow state transitions, calculation/report logic, audit trail settings, e-signature meanings, interface mappings, retention settings and archive/export behavior. Critical item changes require QA review and targeted regression evidence even when implemented through standard administration screens.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24"/>
        <w:gridCol w:w="5536"/>
      </w:tblGrid>
      <w:tr>
        <w:trPr>
          <w:tblHeader w:val="true"/>
        </w:trPr>
        <w:tc>
          <w:tcPr>
            <w:tcW w:type="dxa" w:w="38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Configuration class</w:t>
            </w:r>
          </w:p>
        </w:tc>
        <w:tc>
          <w:tcPr>
            <w:tcW w:type="dxa" w:w="55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Change-control expectation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Critical GxP control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Formal change, risk assessment, independent review and regression evidence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workflow parameter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BPO approval, test evidence and training/SOP impact check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Operational/support parameter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 approval and monitoring/backup/security impact check</w:t>
            </w:r>
          </w:p>
        </w:tc>
      </w:tr>
      <w:tr>
        <w:tc>
          <w:tcPr>
            <w:tcW w:type="dxa" w:w="3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Cosmetic/non-GxP label</w:t>
            </w:r>
          </w:p>
        </w:tc>
        <w:tc>
          <w:tcPr>
            <w:tcW w:type="dxa" w:w="5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Documented rationale and verification that regulated meaning is not altered</w:t>
            </w:r>
          </w:p>
        </w:tc>
      </w:tr>
    </w:tbl>
    <w:p>
      <w:pPr>
        <w:spacing w:after="80"/>
      </w:pP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Specification](032_Audit_Trail_Specification.md)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Specification](033_Electronic_Signature_Specification.md)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QCL-2026-BLD-001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[Installation, Build and Configuration Record](040_Installation_Build_and_Configuration_Record.md)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QCL-2026-CIR-001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Item and Version Register](041_Configuration_Item_and_Version_Register.md)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QCL-2026-PBL-001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Baseline and Approved Configuration Record](077_Production_Baseline_and_Approved_Configuration_Record.md)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Solution Architect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QCL-2026-CS-001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QCL-2026-CS-001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Configuration Specification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