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Infrastructure and Architecture Design</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QCL-2026-IAD-001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Design</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2026-10-31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QCL-2026-IAD-001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Design</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2026-10-31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Purpose</w:t>
      </w:r>
    </w:p>
    <w:p>
      <w:pPr>
        <w:spacing w:after="120" w:line="300" w:lineRule="auto"/>
      </w:pPr>
      <w:r>
        <w:rPr>
          <w:rFonts w:ascii="Calibri" w:hAnsi="Calibri"/>
          <w:b w:val="0"/>
          <w:i w:val="0"/>
          <w:color w:val="000000"/>
          <w:sz w:val="22"/>
        </w:rPr>
        <w:t>This document defines qualified infrastructure and network dependencies for the application, gateway, identity, backup and archive.</w:t>
      </w:r>
    </w:p>
    <w:p>
      <w:pPr>
        <w:pStyle w:val="Heading1"/>
      </w:pPr>
      <w:r>
        <w:t>2. Physical and service architecture</w:t>
      </w:r>
    </w:p>
    <w:tbl>
      <w:tblPr>
        <w:tblStyle w:val="TableGrid"/>
        <w:tblW w:type="dxa" w:w="9360"/>
        <w:tblLayout w:type="fixed"/>
        <w:tblLook w:firstColumn="1" w:firstRow="1" w:lastColumn="0" w:lastRow="0" w:noHBand="0" w:noVBand="1" w:val="04A0"/>
        <w:tblInd w:w="120" w:type="dxa"/>
      </w:tblPr>
      <w:tblGrid>
        <w:gridCol w:w="2403"/>
        <w:gridCol w:w="6957"/>
      </w:tblGrid>
      <w:tr>
        <w:trPr>
          <w:tblHeader w:val="true"/>
        </w:trPr>
        <w:tc>
          <w:tcPr>
            <w:tcW w:type="dxa" w:w="240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Item</w:t>
            </w:r>
          </w:p>
        </w:tc>
        <w:tc>
          <w:tcPr>
            <w:tcW w:type="dxa" w:w="695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Approved design</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Cloud tenant</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Dedicated QCLabOne tenant in China East; production and non-production separated</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Application service</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Redundant supplier-managed nodes behind web application firewall/load balancer</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Database</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Managed PostgreSQL 15, encrypted, multi-zone replication and PITR</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Attachment storage</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Encrypted object store with versioning and checksum</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Gateway</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QCL-IGW-01; Windows Server 2022; 8 vCPU; 32 GB RAM; 500 GB encrypted disk</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Network</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DMZ-to-cloud TLS route; deny-by-default firewall; no inbound Internet access to gateway</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Identity</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Corporate AD FS 2022/SAML; corporate NTP</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Monitoring</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Availability, CPU/memory/disk, interface queues, certificates, backup, security and time drift</w:t>
            </w:r>
          </w:p>
        </w:tc>
      </w:tr>
      <w:tr>
        <w:tc>
          <w:tcPr>
            <w:tcW w:type="dxa" w:w="24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DR</w:t>
            </w:r>
          </w:p>
        </w:tc>
        <w:tc>
          <w:tcPr>
            <w:tcW w:type="dxa" w:w="69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standby region plus site DR copy for gateway configuration</w:t>
            </w:r>
          </w:p>
        </w:tc>
      </w:tr>
    </w:tbl>
    <w:p>
      <w:pPr>
        <w:spacing w:after="80"/>
      </w:pPr>
    </w:p>
    <w:p>
      <w:pPr>
        <w:pStyle w:val="Heading1"/>
      </w:pPr>
      <w:r>
        <w:t>3. Network zones and ports</w:t>
      </w:r>
    </w:p>
    <w:tbl>
      <w:tblPr>
        <w:tblStyle w:val="TableGrid"/>
        <w:tblW w:type="dxa" w:w="9360"/>
        <w:tblLayout w:type="fixed"/>
        <w:tblLook w:firstColumn="1" w:firstRow="1" w:lastColumn="0" w:lastRow="0" w:noHBand="0" w:noVBand="1" w:val="04A0"/>
        <w:tblInd w:w="120" w:type="dxa"/>
      </w:tblPr>
      <w:tblGrid>
        <w:gridCol w:w="2674"/>
        <w:gridCol w:w="2674"/>
        <w:gridCol w:w="2202"/>
        <w:gridCol w:w="1810"/>
      </w:tblGrid>
      <w:tr>
        <w:trPr>
          <w:tblHeader w:val="true"/>
        </w:trPr>
        <w:tc>
          <w:tcPr>
            <w:tcW w:type="dxa" w:w="26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Path</w:t>
            </w:r>
          </w:p>
        </w:tc>
        <w:tc>
          <w:tcPr>
            <w:tcW w:type="dxa" w:w="26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Protocol/port</w:t>
            </w:r>
          </w:p>
        </w:tc>
        <w:tc>
          <w:tcPr>
            <w:tcW w:type="dxa" w:w="220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Direction</w:t>
            </w:r>
          </w:p>
        </w:tc>
        <w:tc>
          <w:tcPr>
            <w:tcW w:type="dxa" w:w="181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Purpose</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network → cloud application</w:t>
            </w:r>
          </w:p>
        </w:tc>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HTTPS 443</w:t>
            </w:r>
          </w:p>
        </w:tc>
        <w:tc>
          <w:tcPr>
            <w:tcW w:type="dxa" w:w="2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Outbound</w:t>
            </w:r>
          </w:p>
        </w:tc>
        <w:tc>
          <w:tcPr>
            <w:tcW w:type="dxa" w:w="18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access</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Gateway → cloud API</w:t>
            </w:r>
          </w:p>
        </w:tc>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mTLS HTTPS 443</w:t>
            </w:r>
          </w:p>
        </w:tc>
        <w:tc>
          <w:tcPr>
            <w:tcW w:type="dxa" w:w="2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Outbound</w:t>
            </w:r>
          </w:p>
        </w:tc>
        <w:tc>
          <w:tcPr>
            <w:tcW w:type="dxa" w:w="18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Interfaces</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Gateway ↔ SAP/eQMS/CDS</w:t>
            </w:r>
          </w:p>
        </w:tc>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HTTPS 443 / approved message queue</w:t>
            </w:r>
          </w:p>
        </w:tc>
        <w:tc>
          <w:tcPr>
            <w:tcW w:type="dxa" w:w="2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Bidirectional</w:t>
            </w:r>
          </w:p>
        </w:tc>
        <w:tc>
          <w:tcPr>
            <w:tcW w:type="dxa" w:w="18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Enterprise interfaces</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Instruments → gateway</w:t>
            </w:r>
          </w:p>
        </w:tc>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serial/TCP ports</w:t>
            </w:r>
          </w:p>
        </w:tc>
        <w:tc>
          <w:tcPr>
            <w:tcW w:type="dxa" w:w="2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Inbound from laboratory VLAN</w:t>
            </w:r>
          </w:p>
        </w:tc>
        <w:tc>
          <w:tcPr>
            <w:tcW w:type="dxa" w:w="18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Device capture</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Gateway → NTP/DNS/identity/logging</w:t>
            </w:r>
          </w:p>
        </w:tc>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enterprise services</w:t>
            </w:r>
          </w:p>
        </w:tc>
        <w:tc>
          <w:tcPr>
            <w:tcW w:type="dxa" w:w="2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Outbound</w:t>
            </w:r>
          </w:p>
        </w:tc>
        <w:tc>
          <w:tcPr>
            <w:tcW w:type="dxa" w:w="18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Infrastructure control</w:t>
            </w:r>
          </w:p>
        </w:tc>
      </w:tr>
      <w:tr>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Vendor remote support</w:t>
            </w:r>
          </w:p>
        </w:tc>
        <w:tc>
          <w:tcPr>
            <w:tcW w:type="dxa" w:w="26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bastion over MFA</w:t>
            </w:r>
          </w:p>
        </w:tc>
        <w:tc>
          <w:tcPr>
            <w:tcW w:type="dxa" w:w="2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Time-limited</w:t>
            </w:r>
          </w:p>
        </w:tc>
        <w:tc>
          <w:tcPr>
            <w:tcW w:type="dxa" w:w="181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Diagnostic support only</w:t>
            </w:r>
          </w:p>
        </w:tc>
      </w:tr>
    </w:tbl>
    <w:p>
      <w:pPr>
        <w:spacing w:after="80"/>
      </w:pPr>
    </w:p>
    <w:p>
      <w:pPr>
        <w:pStyle w:val="Heading1"/>
      </w:pPr>
      <w:r>
        <w:t>4. Qualification and hardening</w:t>
      </w:r>
    </w:p>
    <w:p>
      <w:pPr>
        <w:spacing w:after="120" w:line="300" w:lineRule="auto"/>
      </w:pPr>
      <w:r>
        <w:rPr>
          <w:rFonts w:ascii="Calibri" w:hAnsi="Calibri"/>
          <w:b w:val="0"/>
          <w:i w:val="0"/>
          <w:color w:val="000000"/>
          <w:sz w:val="22"/>
        </w:rPr>
        <w:t>Server build follows approved CIS-aligned baseline. EDR, patching, logging, backup and least-privilege service accounts are mandatory. Unsupported software, local email, web browsing and removable-media use are prohibited.</w:t>
      </w:r>
    </w:p>
    <w:p>
      <w:pPr>
        <w:pStyle w:val="Heading1"/>
      </w:pPr>
      <w:r>
        <w:t>5. Capacity</w:t>
      </w:r>
    </w:p>
    <w:p>
      <w:pPr>
        <w:spacing w:after="120" w:line="300" w:lineRule="auto"/>
      </w:pPr>
      <w:r>
        <w:rPr>
          <w:rFonts w:ascii="Calibri" w:hAnsi="Calibri"/>
          <w:b w:val="0"/>
          <w:i w:val="0"/>
          <w:color w:val="000000"/>
          <w:sz w:val="22"/>
        </w:rPr>
        <w:t>Initial design supports 200 concurrent users, 10,000 interface messages/hour, 5 TB attachment growth over five years and 30% headroom. Alert thresholds are 70% warning and 85% critical for capacity resources.</w:t>
      </w:r>
    </w:p>
    <w:p>
      <w:pPr>
        <w:spacing w:after="120" w:line="300" w:lineRule="auto"/>
      </w:pPr>
      <w:r>
        <w:rPr>
          <w:rFonts w:ascii="Calibri" w:hAnsi="Calibri"/>
          <w:b w:val="0"/>
          <w:i w:val="0"/>
          <w:color w:val="000000"/>
          <w:sz w:val="22"/>
        </w:rPr>
        <w:t>Infrastructure qualification shall confirm both build correctness and operational readiness. Evidence shall show that hardening, monitoring, backup agent, time synchronization, log forwarding, vulnerability scanning and support access are active before application validation execution begins. Any shared service leveraged from corporate IT shall have an owner, qualification reference and support escalation path.</w:t>
      </w:r>
    </w:p>
    <w:tbl>
      <w:tblPr>
        <w:tblStyle w:val="TableGrid"/>
        <w:tblW w:type="dxa" w:w="9360"/>
        <w:tblLayout w:type="fixed"/>
        <w:tblLook w:firstColumn="1" w:firstRow="1" w:lastColumn="0" w:lastRow="0" w:noHBand="0" w:noVBand="1" w:val="04A0"/>
        <w:tblInd w:w="120" w:type="dxa"/>
      </w:tblPr>
      <w:tblGrid>
        <w:gridCol w:w="4160"/>
        <w:gridCol w:w="5200"/>
      </w:tblGrid>
      <w:tr>
        <w:trPr>
          <w:tblHeader w:val="true"/>
        </w:trPr>
        <w:tc>
          <w:tcPr>
            <w:tcW w:type="dxa" w:w="416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Infrastructure control</w:t>
            </w:r>
          </w:p>
        </w:tc>
        <w:tc>
          <w:tcPr>
            <w:tcW w:type="dxa" w:w="520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Qualification or operating evidence</w:t>
            </w:r>
          </w:p>
        </w:tc>
      </w:tr>
      <w:tr>
        <w:tc>
          <w:tcPr>
            <w:tcW w:type="dxa" w:w="4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Server/platform baseline</w:t>
            </w:r>
          </w:p>
        </w:tc>
        <w:tc>
          <w:tcPr>
            <w:tcW w:type="dxa" w:w="520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Build record, hardening checklist and approved version register</w:t>
            </w:r>
          </w:p>
        </w:tc>
      </w:tr>
      <w:tr>
        <w:tc>
          <w:tcPr>
            <w:tcW w:type="dxa" w:w="4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Network/security boundary</w:t>
            </w:r>
          </w:p>
        </w:tc>
        <w:tc>
          <w:tcPr>
            <w:tcW w:type="dxa" w:w="520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Firewall rule review, certificate inventory and connection test</w:t>
            </w:r>
          </w:p>
        </w:tc>
      </w:tr>
      <w:tr>
        <w:tc>
          <w:tcPr>
            <w:tcW w:type="dxa" w:w="4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Monitoring/logging</w:t>
            </w:r>
          </w:p>
        </w:tc>
        <w:tc>
          <w:tcPr>
            <w:tcW w:type="dxa" w:w="520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Alert list, log-retention setting and test alert evidence</w:t>
            </w:r>
          </w:p>
        </w:tc>
      </w:tr>
      <w:tr>
        <w:tc>
          <w:tcPr>
            <w:tcW w:type="dxa" w:w="4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Backup/restore dependency</w:t>
            </w:r>
          </w:p>
        </w:tc>
        <w:tc>
          <w:tcPr>
            <w:tcW w:type="dxa" w:w="520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job evidence and restore-test linkage</w:t>
            </w:r>
          </w:p>
        </w:tc>
      </w:tr>
      <w:tr>
        <w:tc>
          <w:tcPr>
            <w:tcW w:type="dxa" w:w="4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Capacity control</w:t>
            </w:r>
          </w:p>
        </w:tc>
        <w:tc>
          <w:tcPr>
            <w:tcW w:type="dxa" w:w="520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Baseline utilisation, alert thresholds and growth review trigger</w:t>
            </w:r>
          </w:p>
        </w:tc>
      </w:tr>
    </w:tbl>
    <w:p>
      <w:pPr>
        <w:spacing w:after="80"/>
      </w:pPr>
    </w:p>
    <w:p>
      <w:pPr>
        <w:pStyle w:val="Heading1"/>
      </w:pPr>
      <w:r>
        <w:t>6.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QCL-2026-CYB-001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[Cybersecurity and Privacy Impact Assessment](014_Cybersecurity_and_Privacy_Impact_Assessment.md)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Design Specification](024_System_Design_Specification.md)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and Restore Specification](034_Backup_and_Restore_Specification.md)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QCL-2026-BCP-001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Continuity and Disaster Recovery Plan](035_Business_Continuity_and_Disaster_Recovery_Plan.md)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QCL-2026-BLD-001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[Installation, Build and Configuration Record](040_Installation_Build_and_Configuration_Record.md)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QCL-2026-CIR-001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[Configuration Item and Version Register](041_Configuration_Item_and_Version_Register.md)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QCL-2026-IQ-001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[Installation Qualification Protocol and Report](048_Installation_Qualification_Protocol_and_Report.md)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QCL-2026-BRT-001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[Backup and Restore Test Report](056_Backup_and_Restore_Test_Report.md)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QCL-2026-PLC-001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[Performance, Load and Capacity Test Report](057_Performance_Load_and_Capacity_Test_Report.md)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QCL-2026-DRT-001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[Failover and Disaster Recovery Test Report](058_Failover_and_Disaster_Recovery_Test_Report.md)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QCL-2028-CVM-001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[Cybersecurity Vulnerability and Monitoring Report](094_Cybersecurity_Vulnerability_and_Monitoring_Report.md)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160"/>
        <w:gridCol w:w="3038"/>
        <w:gridCol w:w="3162"/>
      </w:tblGrid>
      <w:tr>
        <w:trPr>
          <w:tblHeader w:val="true"/>
        </w:trPr>
        <w:tc>
          <w:tcPr>
            <w:tcW w:type="dxa" w:w="316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3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16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Vendor Solution Architect</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CSV Lead</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2026-10-31</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QCL-2026-IAD-001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QCL-2026-IAD-001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and Architecture Design</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