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Data Flow, Data Dictionary and Metadata Specification</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QCL-2026-DDS-001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Design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2026-10-31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QCL-2026-DDS-001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Design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2026-10-31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Data-flow model</w:t>
      </w:r>
    </w:p>
    <w:p>
      <w:pPr>
        <w:spacing w:after="40"/>
      </w:pPr>
      <w:r>
        <w:rPr>
          <w:rFonts w:ascii="Calibri" w:hAnsi="Calibri"/>
          <w:b/>
          <w:color w:val="595959"/>
          <w:sz w:val="18"/>
        </w:rPr>
        <w:t>Diagram source</w:t>
      </w: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4F6F9"/>
            <w:vAlign w:val="center"/>
            <w:tcMar>
              <w:top w:w="80" w:type="dxa"/>
              <w:bottom w:w="80" w:type="dxa"/>
              <w:start w:w="120" w:type="dxa"/>
              <w:end w:w="120" w:type="dxa"/>
            </w:tcMar>
          </w:tcPr>
          <w:p>
            <w:pPr>
              <w:spacing w:after="0" w:line="276" w:lineRule="auto"/>
            </w:pPr>
            <w:r>
              <w:rPr>
                <w:rFonts w:ascii="Consolas" w:hAnsi="Consolas"/>
                <w:color w:val="000000"/>
                <w:sz w:val="17"/>
              </w:rPr>
            </w:r>
            <w:r>
              <w:rPr>
                <w:rFonts w:ascii="Consolas" w:hAnsi="Consolas"/>
                <w:b w:val="0"/>
                <w:color w:val="000000"/>
                <w:sz w:val="17"/>
              </w:rPr>
              <w:t>flowchart LR</w:t>
            </w:r>
          </w:p>
          <w:p>
            <w:pPr>
              <w:spacing w:after="0" w:line="276" w:lineRule="auto"/>
            </w:pPr>
            <w:r>
              <w:rPr>
                <w:rFonts w:ascii="Consolas" w:hAnsi="Consolas"/>
                <w:b w:val="0"/>
                <w:color w:val="000000"/>
                <w:sz w:val="17"/>
              </w:rPr>
              <w:t>SAP[SAP master and sample request] --&gt; L[QCLabOne sample/test records]</w:t>
            </w:r>
          </w:p>
          <w:p>
            <w:pPr>
              <w:spacing w:after="0" w:line="276" w:lineRule="auto"/>
            </w:pPr>
            <w:r>
              <w:rPr>
                <w:rFonts w:ascii="Consolas" w:hAnsi="Consolas"/>
                <w:b w:val="0"/>
                <w:color w:val="000000"/>
                <w:sz w:val="17"/>
              </w:rPr>
              <w:t>DEV[Instruments] --&gt; L</w:t>
            </w:r>
          </w:p>
          <w:p>
            <w:pPr>
              <w:spacing w:after="0" w:line="276" w:lineRule="auto"/>
            </w:pPr>
            <w:r>
              <w:rPr>
                <w:rFonts w:ascii="Consolas" w:hAnsi="Consolas"/>
                <w:b w:val="0"/>
                <w:color w:val="000000"/>
                <w:sz w:val="17"/>
              </w:rPr>
              <w:t>CDS[CDS approved result + source link] --&gt; L</w:t>
            </w:r>
          </w:p>
          <w:p>
            <w:pPr>
              <w:spacing w:after="0" w:line="276" w:lineRule="auto"/>
            </w:pPr>
            <w:r>
              <w:rPr>
                <w:rFonts w:ascii="Consolas" w:hAnsi="Consolas"/>
                <w:b w:val="0"/>
                <w:color w:val="000000"/>
                <w:sz w:val="17"/>
              </w:rPr>
              <w:t>L --&gt; EQ[eQMS OOS/OOT case]</w:t>
            </w:r>
          </w:p>
          <w:p>
            <w:pPr>
              <w:spacing w:after="0" w:line="276" w:lineRule="auto"/>
            </w:pPr>
            <w:r>
              <w:rPr>
                <w:rFonts w:ascii="Consolas" w:hAnsi="Consolas"/>
                <w:b w:val="0"/>
                <w:color w:val="000000"/>
                <w:sz w:val="17"/>
              </w:rPr>
              <w:t>EQ --&gt; L</w:t>
            </w:r>
          </w:p>
          <w:p>
            <w:pPr>
              <w:spacing w:after="0" w:line="276" w:lineRule="auto"/>
            </w:pPr>
            <w:r>
              <w:rPr>
                <w:rFonts w:ascii="Consolas" w:hAnsi="Consolas"/>
                <w:b w:val="0"/>
                <w:color w:val="000000"/>
                <w:sz w:val="17"/>
              </w:rPr>
              <w:t>L --&gt; SAP</w:t>
            </w:r>
          </w:p>
          <w:p>
            <w:pPr>
              <w:spacing w:after="0" w:line="276" w:lineRule="auto"/>
            </w:pPr>
            <w:r>
              <w:rPr>
                <w:rFonts w:ascii="Consolas" w:hAnsi="Consolas"/>
                <w:b w:val="0"/>
                <w:color w:val="000000"/>
                <w:sz w:val="17"/>
              </w:rPr>
              <w:t>L --&gt; REP[Controlled report/PDF]</w:t>
            </w:r>
          </w:p>
          <w:p>
            <w:pPr>
              <w:spacing w:after="0" w:line="276" w:lineRule="auto"/>
            </w:pPr>
            <w:r>
              <w:rPr>
                <w:rFonts w:ascii="Consolas" w:hAnsi="Consolas"/>
                <w:b w:val="0"/>
                <w:color w:val="000000"/>
                <w:sz w:val="17"/>
              </w:rPr>
              <w:t>L --&gt; ARC[Archive package]</w:t>
            </w:r>
          </w:p>
          <w:p>
            <w:pPr>
              <w:spacing w:after="0" w:line="276" w:lineRule="auto"/>
            </w:pPr>
            <w:r>
              <w:rPr>
                <w:rFonts w:ascii="Consolas" w:hAnsi="Consolas"/>
                <w:b w:val="0"/>
                <w:color w:val="000000"/>
                <w:sz w:val="17"/>
              </w:rPr>
              <w:t>LEG[Legacy LIMS/Excel] --&gt; MIG[Migration/Archive ETL]</w:t>
            </w:r>
          </w:p>
          <w:p>
            <w:pPr>
              <w:spacing w:after="0" w:line="276" w:lineRule="auto"/>
            </w:pPr>
            <w:r>
              <w:rPr>
                <w:rFonts w:ascii="Consolas" w:hAnsi="Consolas"/>
                <w:b w:val="0"/>
                <w:color w:val="000000"/>
                <w:sz w:val="17"/>
              </w:rPr>
              <w:t>MIG --&gt; L</w:t>
            </w:r>
          </w:p>
          <w:p>
            <w:pPr>
              <w:spacing w:after="0" w:line="276" w:lineRule="auto"/>
            </w:pPr>
            <w:r>
              <w:rPr>
                <w:rFonts w:ascii="Consolas" w:hAnsi="Consolas"/>
                <w:b w:val="0"/>
                <w:color w:val="000000"/>
                <w:sz w:val="17"/>
              </w:rPr>
              <w:t>MIG --&gt; ARC</w:t>
            </w:r>
          </w:p>
        </w:tc>
      </w:tr>
    </w:tbl>
    <w:p>
      <w:pPr>
        <w:pStyle w:val="Heading1"/>
      </w:pPr>
      <w:r>
        <w:t>2. Data ownership and lifecycle</w:t>
      </w:r>
    </w:p>
    <w:p>
      <w:pPr>
        <w:spacing w:after="120" w:line="300" w:lineRule="auto"/>
      </w:pPr>
      <w:r>
        <w:rPr>
          <w:rFonts w:ascii="Calibri" w:hAnsi="Calibri"/>
          <w:b w:val="0"/>
          <w:i w:val="0"/>
          <w:color w:val="000000"/>
          <w:sz w:val="22"/>
        </w:rPr>
        <w:t>Data is created at the authoritative source, validated on entry/transfer, processed under version-controlled rules, reviewed and signed, retained online, archived with metadata/audit trail and eventually disposed only under the approved retention schedule.</w:t>
      </w:r>
    </w:p>
    <w:p>
      <w:pPr>
        <w:pStyle w:val="Heading1"/>
      </w:pPr>
      <w:r>
        <w:t>3. Core data dictionary</w:t>
      </w:r>
    </w:p>
    <w:tbl>
      <w:tblPr>
        <w:tblStyle w:val="TableGrid"/>
        <w:tblW w:type="dxa" w:w="9360"/>
        <w:tblLayout w:type="fixed"/>
        <w:tblLook w:firstColumn="1" w:firstRow="1" w:lastColumn="0" w:lastRow="0" w:noHBand="0" w:noVBand="1" w:val="04A0"/>
        <w:tblInd w:w="120" w:type="dxa"/>
      </w:tblPr>
      <w:tblGrid>
        <w:gridCol w:w="936"/>
        <w:gridCol w:w="1337"/>
        <w:gridCol w:w="1136"/>
        <w:gridCol w:w="3276"/>
        <w:gridCol w:w="2675"/>
      </w:tblGrid>
      <w:tr>
        <w:trPr>
          <w:tblHeader w:val="true"/>
        </w:trPr>
        <w:tc>
          <w:tcPr>
            <w:tcW w:type="dxa" w:w="93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Entity</w:t>
            </w:r>
          </w:p>
        </w:tc>
        <w:tc>
          <w:tcPr>
            <w:tcW w:type="dxa" w:w="133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Field</w:t>
            </w:r>
          </w:p>
        </w:tc>
        <w:tc>
          <w:tcPr>
            <w:tcW w:type="dxa" w:w="113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Type</w:t>
            </w:r>
          </w:p>
        </w:tc>
        <w:tc>
          <w:tcPr>
            <w:tcW w:type="dxa" w:w="327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Rule</w:t>
            </w:r>
          </w:p>
        </w:tc>
        <w:tc>
          <w:tcPr>
            <w:tcW w:type="dxa" w:w="267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Authoritative source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Sample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SampleID</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Unique QCL-YYYY-NNNNNNN; immutable</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Sample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SourceRequestID</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SAP request/correlation ID</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SAP</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Sample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MaterialCode</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Approved material master code</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SAP</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Sample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BatchNumber</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Manufacturing batch/lot</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SAP</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Sample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ReceiptTimestamp</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Timestamp</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System-generated CST display/UTC storage</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TestAssignment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TestID</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Unique test assignment</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TestAssignment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SpecificationVersion</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Effective version linked at assignment</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Result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ResultID</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Unique result record</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Result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NumericValue</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Decimal</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Full precision stored; display rounding by method</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QCLabOne/CDS</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Result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Unit</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Controlled code</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Method-approved unit</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Result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SourceType</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Enum</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Direct instrument/CDS/manual/calculated</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Result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SourceRecordID</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String/URL</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Device message ID or CDS sequence/link</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Source system</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Calculation</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FormulaVersion</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Approved immutable formula version</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Signature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SignerID</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Unique corporate identity</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Identity service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Signature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Meaning</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Enum</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Performed/Reviewed/Approved/Rejected/Cancelled</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Signature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SignedAt</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Timestamp</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System-generated</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AuditEvent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OldValue/NewValue</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Structured text</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Complete changed value/context</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AuditEvent</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Reason</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Controlled + text</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Mandatory for critical changes</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QualityCase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CaseID</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String</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Returned eQMS case identifier</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eQMS</w:t>
            </w:r>
          </w:p>
        </w:tc>
      </w:tr>
      <w:tr>
        <w:tc>
          <w:tcPr>
            <w:tcW w:type="dxa" w:w="9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ArchivePackage</w:t>
            </w:r>
          </w:p>
        </w:tc>
        <w:tc>
          <w:tcPr>
            <w:tcW w:type="dxa" w:w="1337"/>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ManifestChecksum</w:t>
            </w:r>
          </w:p>
        </w:tc>
        <w:tc>
          <w:tcPr>
            <w:tcW w:type="dxa" w:w="113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SHA-256</w:t>
            </w:r>
          </w:p>
        </w:tc>
        <w:tc>
          <w:tcPr>
            <w:tcW w:type="dxa" w:w="3276"/>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Package integrity</w:t>
            </w:r>
          </w:p>
        </w:tc>
        <w:tc>
          <w:tcPr>
            <w:tcW w:type="dxa" w:w="2675"/>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QCLabOne/ArchiveVault</w:t>
            </w:r>
          </w:p>
        </w:tc>
      </w:tr>
    </w:tbl>
    <w:p>
      <w:pPr>
        <w:spacing w:after="80"/>
      </w:pPr>
    </w:p>
    <w:p>
      <w:pPr>
        <w:pStyle w:val="Heading1"/>
      </w:pPr>
      <w:r>
        <w:t>4. Metadata requirements</w:t>
      </w:r>
    </w:p>
    <w:p>
      <w:pPr>
        <w:spacing w:after="120" w:line="300" w:lineRule="auto"/>
      </w:pPr>
      <w:r>
        <w:rPr>
          <w:rFonts w:ascii="Calibri" w:hAnsi="Calibri"/>
          <w:b w:val="0"/>
          <w:i w:val="0"/>
          <w:color w:val="000000"/>
          <w:sz w:val="22"/>
        </w:rPr>
        <w:t>Every regulated record package preserves unique ID, creator/source, creation and modification time, version, status, related record IDs, signature manifestation, audit trail, attachments, configuration/method references and retention category.</w:t>
      </w:r>
    </w:p>
    <w:p>
      <w:pPr>
        <w:pStyle w:val="Heading1"/>
      </w:pPr>
      <w:r>
        <w:t>5. Data-quality rules</w:t>
      </w:r>
    </w:p>
    <w:p>
      <w:pPr>
        <w:spacing w:after="120" w:line="300" w:lineRule="auto"/>
      </w:pPr>
      <w:r>
        <w:rPr>
          <w:rFonts w:ascii="Calibri" w:hAnsi="Calibri"/>
          <w:b w:val="0"/>
          <w:i w:val="0"/>
          <w:color w:val="000000"/>
          <w:sz w:val="22"/>
        </w:rPr>
        <w:t>Null mandatory values, invalid codes, unsupported units, broken relationships, duplicate business keys and checksum mismatch are rejected or quarantined. Corrections never overwrite the original history.</w:t>
      </w:r>
    </w:p>
    <w:p>
      <w:pPr>
        <w:spacing w:after="120" w:line="300" w:lineRule="auto"/>
      </w:pPr>
      <w:r>
        <w:rPr>
          <w:rFonts w:ascii="Calibri" w:hAnsi="Calibri"/>
          <w:b w:val="0"/>
          <w:i w:val="0"/>
          <w:color w:val="000000"/>
          <w:sz w:val="22"/>
        </w:rPr>
        <w:t>Data ownership is assigned at the point where the record becomes authoritative. The official source must be clear before mapping, migration, interface design or report verification is approved. When data are copied between systems, QCLabOne shall retain enough source context to reconstruct provenance without making itself the official source for records that remain in SAP, CDS/SDMS or eQMS.</w:t>
      </w:r>
    </w:p>
    <w:tbl>
      <w:tblPr>
        <w:tblStyle w:val="TableGrid"/>
        <w:tblW w:type="dxa" w:w="9360"/>
        <w:tblLayout w:type="fixed"/>
        <w:tblLook w:firstColumn="1" w:firstRow="1" w:lastColumn="0" w:lastRow="0" w:noHBand="0" w:noVBand="1" w:val="04A0"/>
        <w:tblInd w:w="120" w:type="dxa"/>
      </w:tblPr>
      <w:tblGrid>
        <w:gridCol w:w="3941"/>
        <w:gridCol w:w="5419"/>
      </w:tblGrid>
      <w:tr>
        <w:trPr>
          <w:tblHeader w:val="true"/>
        </w:trPr>
        <w:tc>
          <w:tcPr>
            <w:tcW w:type="dxa" w:w="394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Data governance rule</w:t>
            </w:r>
          </w:p>
        </w:tc>
        <w:tc>
          <w:tcPr>
            <w:tcW w:type="dxa" w:w="541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Evidence expectation</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Official source defined</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dictionary identifies source system and QCLabOne responsibility</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Provenance retained</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Source ID, version, timestamp and transfer context are retained where applicable</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Metadata completeness</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Record package includes status, signatures, audit trail and related IDs</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quality exception</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Quarantine/rejection record has owner, reason and disposition</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Retention category</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Record type maps to archive/export and retention controls</w:t>
            </w:r>
          </w:p>
        </w:tc>
      </w:tr>
    </w:tbl>
    <w:p>
      <w:pPr>
        <w:spacing w:after="80"/>
      </w:pPr>
    </w:p>
    <w:p>
      <w:pPr>
        <w:pStyle w:val="Heading1"/>
      </w:pPr>
      <w:r>
        <w:t>6.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QCL-2026-BPD-001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Business Process Description](008_Business_Process_Description.md)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QCL-2026-DIRA-001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Risk Assessment](012_Data_Integrity_Risk_Assessment.md)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Specification](023_Functional_Specification.md)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Design Specification](024_System_Design_Specification.md)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Control Specification](027_Interface_Control_Specification.md)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[Report and Calculation Specification](029_Report_and_Calculation_Specification.md)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QCL-2026-MDS-001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Data Specification](030_Master_Data_Specification.md)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Specification](032_Audit_Trail_Specification.md)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QCL-2026-DMP-001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Migration Strategy and Plan](036_Data_Migration_Strategy_and_Plan.md)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QCL-2026-DMS-001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Mapping, Cleansing and Transformation Specification](037_Data_Mapping_Cleansing_and_Transformation_Specification.md)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QCL-2026-IFT-001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Test Protocol and Report](051_Interface_Test_Protocol_and_Report.md)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QCL-2026-DMT-001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Migration Test and Reconciliation Report](052_Data_Migration_Test_and_Reconciliation_Report.md)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160"/>
        <w:gridCol w:w="3038"/>
        <w:gridCol w:w="3162"/>
      </w:tblGrid>
      <w:tr>
        <w:trPr>
          <w:tblHeader w:val="true"/>
        </w:trPr>
        <w:tc>
          <w:tcPr>
            <w:tcW w:type="dxa" w:w="31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3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1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Vendor Solution Architect</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CSV Lead</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2026-10-31</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QCL-2026-DDS-001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QCL-2026-DDS-001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Flow, Data Dictionary and Metadata Specification</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