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Master Data Specification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QCL-2026-MDS-001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Design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defines ownership, attributes, lifecycle and approval of master data that drives GxP processing.</w:t>
      </w:r>
    </w:p>
    <w:p>
      <w:pPr>
        <w:pStyle w:val="Heading1"/>
      </w:pPr>
      <w:r>
        <w:t>2. Master-data register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63"/>
        <w:gridCol w:w="2432"/>
        <w:gridCol w:w="2591"/>
        <w:gridCol w:w="1216"/>
        <w:gridCol w:w="1958"/>
      </w:tblGrid>
      <w:tr>
        <w:trPr>
          <w:tblHeader w:val="true"/>
        </w:trPr>
        <w:tc>
          <w:tcPr>
            <w:tcW w:type="dxa" w:w="116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Master data</w:t>
            </w:r>
          </w:p>
        </w:tc>
        <w:tc>
          <w:tcPr>
            <w:tcW w:type="dxa" w:w="243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Critical attributes</w:t>
            </w:r>
          </w:p>
        </w:tc>
        <w:tc>
          <w:tcPr>
            <w:tcW w:type="dxa" w:w="259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Source/system</w:t>
            </w:r>
          </w:p>
        </w:tc>
        <w:tc>
          <w:tcPr>
            <w:tcW w:type="dxa" w:w="121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Owner</w:t>
            </w:r>
          </w:p>
        </w:tc>
        <w:tc>
          <w:tcPr>
            <w:tcW w:type="dxa" w:w="195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7"/>
              </w:rPr>
              <w:t>Control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Material/product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Code, name, dosage form, site, status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SAP interface; read-only in 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ERP Master Data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Per approved ERP change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Specification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Tests, methods, limits, effective dates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in 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Specification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Creator/reviewer/approver segregation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Test method reference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Method number/version, result type, units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in QCLabOne; scientific method in eDMS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Method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Effective version only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Calculation formula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Formula, variables, units, rounding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in 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Calculation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Independent verification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Reagent/standard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Item, lot, expiry, potency, storage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Reagent Steward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Status/expiry prevents use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Instrument/device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Asset ID, type, location, qualification status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Asset system feed/manual approved sync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 Instrument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Unqualified/expired device blocked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User role mapping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Corporate group to application role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Identity + 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System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Approved access request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Location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Lab, room, storage, EM location and grade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QC/Facilities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Version/effective date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Controlled reason list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Reason code, description, applicable object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 Data Integrity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QA approval</w:t>
            </w:r>
          </w:p>
        </w:tc>
      </w:tr>
      <w:tr>
        <w:tc>
          <w:tcPr>
            <w:tcW w:type="dxa" w:w="11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 template</w:t>
            </w:r>
          </w:p>
        </w:tc>
        <w:tc>
          <w:tcPr>
            <w:tcW w:type="dxa" w:w="243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Template ID/version/effective state</w:t>
            </w:r>
          </w:p>
        </w:tc>
        <w:tc>
          <w:tcPr>
            <w:tcW w:type="dxa" w:w="25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QCLabOne/eDMS</w:t>
            </w:r>
          </w:p>
        </w:tc>
        <w:tc>
          <w:tcPr>
            <w:tcW w:type="dxa" w:w="12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Report Owner</w:t>
            </w:r>
          </w:p>
        </w:tc>
        <w:tc>
          <w:tcPr>
            <w:tcW w:type="dxa" w:w="195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7"/>
              </w:rPr>
              <w:t>Verification before effective</w:t>
            </w:r>
          </w:p>
        </w:tc>
      </w:tr>
    </w:tbl>
    <w:p>
      <w:pPr>
        <w:spacing w:after="80"/>
      </w:pPr>
    </w:p>
    <w:p>
      <w:pPr>
        <w:pStyle w:val="Heading1"/>
      </w:pPr>
      <w:r>
        <w:t>3. Lifecycle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Draft → review → approved/effective → superseded/obsolete. Historical versions are never overwritten. Bulk load uses approved template, validation rules, independent review and reconciliation.</w:t>
      </w:r>
    </w:p>
    <w:p>
      <w:pPr>
        <w:pStyle w:val="Heading1"/>
      </w:pPr>
      <w:r>
        <w:t>4. Periodic review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Specifications, methods and calculations are reviewed through their scientific document lifecycle. Reagent/standard and instrument status is monitored daily. Roles and controlled reasons are reviewed quarterly/annually as defined in SOPs.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Master data are not considered effective until approval, effective dating, access restriction and verification are complete. Bulk changes require pre-load review, validation-rule results, exception disposition and post-load reconciliation. Emergency master-data correction may be performed only under approved deviation/change control with subsequent independent verification.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824"/>
        <w:gridCol w:w="5536"/>
      </w:tblGrid>
      <w:tr>
        <w:trPr>
          <w:tblHeader w:val="true"/>
        </w:trPr>
        <w:tc>
          <w:tcPr>
            <w:tcW w:type="dxa" w:w="38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Master-data control</w:t>
            </w:r>
          </w:p>
        </w:tc>
        <w:tc>
          <w:tcPr>
            <w:tcW w:type="dxa" w:w="55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Acceptance expectation</w:t>
            </w:r>
          </w:p>
        </w:tc>
      </w:tr>
      <w:tr>
        <w:tc>
          <w:tcPr>
            <w:tcW w:type="dxa" w:w="38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 dating</w:t>
            </w:r>
          </w:p>
        </w:tc>
        <w:tc>
          <w:tcPr>
            <w:tcW w:type="dxa" w:w="5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New version applies prospectively and completed records retain historical version</w:t>
            </w:r>
          </w:p>
        </w:tc>
      </w:tr>
      <w:tr>
        <w:tc>
          <w:tcPr>
            <w:tcW w:type="dxa" w:w="38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Approval segregation</w:t>
            </w:r>
          </w:p>
        </w:tc>
        <w:tc>
          <w:tcPr>
            <w:tcW w:type="dxa" w:w="5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Creator cannot be sole approver of critical master data</w:t>
            </w:r>
          </w:p>
        </w:tc>
      </w:tr>
      <w:tr>
        <w:tc>
          <w:tcPr>
            <w:tcW w:type="dxa" w:w="38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Bulk load</w:t>
            </w:r>
          </w:p>
        </w:tc>
        <w:tc>
          <w:tcPr>
            <w:tcW w:type="dxa" w:w="5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template, validation results and reconciliation are retained</w:t>
            </w:r>
          </w:p>
        </w:tc>
      </w:tr>
      <w:tr>
        <w:tc>
          <w:tcPr>
            <w:tcW w:type="dxa" w:w="38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Periodic review</w:t>
            </w:r>
          </w:p>
        </w:tc>
        <w:tc>
          <w:tcPr>
            <w:tcW w:type="dxa" w:w="5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Outdated, duplicate or unused entries are dispositioned</w:t>
            </w:r>
          </w:p>
        </w:tc>
      </w:tr>
      <w:tr>
        <w:tc>
          <w:tcPr>
            <w:tcW w:type="dxa" w:w="38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Emergency correction</w:t>
            </w:r>
          </w:p>
        </w:tc>
        <w:tc>
          <w:tcPr>
            <w:tcW w:type="dxa" w:w="55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Reason, impact, approver and verification evidence are recorded</w:t>
            </w:r>
          </w:p>
        </w:tc>
      </w:tr>
    </w:tbl>
    <w:p>
      <w:pPr>
        <w:spacing w:after="80"/>
      </w:pP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Specification](025_Configuration_Specification.md)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QCL-2026-RAC-001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[Role and Access Control Matrix](031_Role_and_Access_Control_Matrix.md)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SOP-IT-LIMS-001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System Administration SOP](067_System_Administration_SOP.md)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Vendor Solution Architect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CSV Lead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2026-10-31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QCL-2026-MDS-001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QCL-2026-MDS-001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Data Specification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