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Audit Trail Specification</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QCL-2026-ATS-001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Design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2026-10-31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QCL-2026-ATS-001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Design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2026-10-31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Purpose</w:t>
      </w:r>
    </w:p>
    <w:p>
      <w:pPr>
        <w:spacing w:after="120" w:line="300" w:lineRule="auto"/>
      </w:pPr>
      <w:r>
        <w:rPr>
          <w:rFonts w:ascii="Calibri" w:hAnsi="Calibri"/>
          <w:b w:val="0"/>
          <w:i w:val="0"/>
          <w:color w:val="000000"/>
          <w:sz w:val="22"/>
        </w:rPr>
        <w:t>This specification defines which events are audit-trailed, the minimum event content, protection, review and retention.</w:t>
      </w:r>
    </w:p>
    <w:p>
      <w:pPr>
        <w:pStyle w:val="Heading1"/>
      </w:pPr>
      <w:r>
        <w:t>2. Audited events</w:t>
      </w:r>
    </w:p>
    <w:tbl>
      <w:tblPr>
        <w:tblStyle w:val="TableGrid"/>
        <w:tblW w:type="dxa" w:w="9360"/>
        <w:tblLayout w:type="fixed"/>
        <w:tblLook w:firstColumn="1" w:firstRow="1" w:lastColumn="0" w:lastRow="0" w:noHBand="0" w:noVBand="1" w:val="04A0"/>
        <w:tblInd w:w="120" w:type="dxa"/>
      </w:tblPr>
      <w:tblGrid>
        <w:gridCol w:w="1440"/>
        <w:gridCol w:w="3960"/>
        <w:gridCol w:w="3960"/>
      </w:tblGrid>
      <w:tr>
        <w:trPr>
          <w:tblHeader w:val="true"/>
        </w:trPr>
        <w:tc>
          <w:tcPr>
            <w:tcW w:type="dxa" w:w="144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Object</w:t>
            </w:r>
          </w:p>
        </w:tc>
        <w:tc>
          <w:tcPr>
            <w:tcW w:type="dxa" w:w="39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Events</w:t>
            </w:r>
          </w:p>
        </w:tc>
        <w:tc>
          <w:tcPr>
            <w:tcW w:type="dxa" w:w="39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Minimum captured content</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Sample</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Create, receive, transfer, aliquot, reject, cancel, dispose, status change</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User/service, timestamp, old/new status, reason where applicable, source</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Test/LES</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Assignment, start, entry, direct capture, manual entry, pause, abort, repeat, submit</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Old/new value, unit, source device, verifier, reason</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Result/calculation</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 change, recalculation, limit evaluation, override attempt</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Old/new value, formula version, limit version, outcome, reason</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Specification/method</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Create, revise, approve, effective, obsolete</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 old/new field, approver, effective date, reason</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data</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Create/change/disable reagent, standard, instrument, location, list value</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Old/new value, user, approval, change reference</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Security</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Account/role create/change/disable, failed login, privileged session</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Actor, target, old/new role, source, ticket</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signature</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Submit/review/approve/reject/cancel and invalidation</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Signer, meaning, time, record ID, authentication result</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Receive/send/retry/reprocess/error</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Message ID, source/destination, status, error, actor</w:t>
            </w:r>
          </w:p>
        </w:tc>
      </w:tr>
      <w:tr>
        <w:tc>
          <w:tcPr>
            <w:tcW w:type="dxa" w:w="14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System/configuration</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change, promotion, release, time-zone change</w:t>
            </w:r>
          </w:p>
        </w:tc>
        <w:tc>
          <w:tcPr>
            <w:tcW w:type="dxa" w:w="39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Old/new value, package/checksum, change record</w:t>
            </w:r>
          </w:p>
        </w:tc>
      </w:tr>
    </w:tbl>
    <w:p>
      <w:pPr>
        <w:spacing w:after="80"/>
      </w:pPr>
    </w:p>
    <w:p>
      <w:pPr>
        <w:pStyle w:val="Heading1"/>
      </w:pPr>
      <w:r>
        <w:t>3. Technical requirements</w:t>
      </w:r>
    </w:p>
    <w:p>
      <w:pPr>
        <w:spacing w:after="120" w:line="300" w:lineRule="auto"/>
      </w:pPr>
      <w:r>
        <w:rPr>
          <w:rFonts w:ascii="Calibri" w:hAnsi="Calibri"/>
          <w:b w:val="0"/>
          <w:i w:val="0"/>
          <w:color w:val="000000"/>
          <w:sz w:val="22"/>
        </w:rPr>
        <w:t>Audit trails are computer-generated, append-only, synchronized to authoritative time and inseparable from the regulated record context. They retain old/new values in human-readable form. Routine application/database administrators cannot modify or delete entries.</w:t>
      </w:r>
    </w:p>
    <w:p>
      <w:pPr>
        <w:pStyle w:val="Heading1"/>
      </w:pPr>
      <w:r>
        <w:t>4. Reason-for-change rules</w:t>
      </w:r>
    </w:p>
    <w:p>
      <w:pPr>
        <w:spacing w:after="120" w:line="300" w:lineRule="auto"/>
      </w:pPr>
      <w:r>
        <w:rPr>
          <w:rFonts w:ascii="Calibri" w:hAnsi="Calibri"/>
          <w:b w:val="0"/>
          <w:i w:val="0"/>
          <w:color w:val="000000"/>
          <w:sz w:val="22"/>
        </w:rPr>
        <w:t>A reason is mandatory for changes to results, specification/method/limit, formula, critical master data, role, workflow status, signature-impacting data and authorised interface reprocessing. Controlled reason plus comment is used where context is needed.</w:t>
      </w:r>
    </w:p>
    <w:p>
      <w:pPr>
        <w:pStyle w:val="Heading1"/>
      </w:pPr>
      <w:r>
        <w:t>5. Review model</w:t>
      </w:r>
    </w:p>
    <w:p>
      <w:pPr>
        <w:pStyle w:val="ListBullet"/>
        <w:spacing w:after="80" w:line="300" w:lineRule="auto"/>
      </w:pPr>
      <w:r>
        <w:rPr>
          <w:rFonts w:ascii="Calibri" w:hAnsi="Calibri"/>
          <w:color w:val="000000"/>
          <w:sz w:val="22"/>
        </w:rPr>
        <w:t>Record-level review: reviewer examines relevant critical changes before approval.</w:t>
      </w:r>
    </w:p>
    <w:p>
      <w:pPr>
        <w:pStyle w:val="ListBullet"/>
        <w:spacing w:after="80" w:line="300" w:lineRule="auto"/>
      </w:pPr>
      <w:r>
        <w:rPr>
          <w:rFonts w:ascii="Calibri" w:hAnsi="Calibri"/>
          <w:color w:val="000000"/>
          <w:sz w:val="22"/>
        </w:rPr>
        <w:t>Monthly review: privileged access, role changes and vendor sessions.</w:t>
      </w:r>
    </w:p>
    <w:p>
      <w:pPr>
        <w:pStyle w:val="ListBullet"/>
        <w:spacing w:after="80" w:line="300" w:lineRule="auto"/>
      </w:pPr>
      <w:r>
        <w:rPr>
          <w:rFonts w:ascii="Calibri" w:hAnsi="Calibri"/>
          <w:color w:val="000000"/>
          <w:sz w:val="22"/>
        </w:rPr>
        <w:t>Quarterly review: system-wide critical event trends, repeated reasons, deletions/attempts, time changes and failed interface reprocessing.</w:t>
      </w:r>
    </w:p>
    <w:p>
      <w:pPr>
        <w:pStyle w:val="ListBullet"/>
        <w:spacing w:after="80" w:line="300" w:lineRule="auto"/>
      </w:pPr>
      <w:r>
        <w:rPr>
          <w:rFonts w:ascii="Calibri" w:hAnsi="Calibri"/>
          <w:color w:val="000000"/>
          <w:sz w:val="22"/>
        </w:rPr>
        <w:t>Event-based review: incident, OOS/OOT, complaint, data-integrity concern or inspection request.</w:t>
      </w:r>
    </w:p>
    <w:p>
      <w:pPr>
        <w:pStyle w:val="Heading1"/>
      </w:pPr>
      <w:r>
        <w:t>6. Retention/export</w:t>
      </w:r>
    </w:p>
    <w:p>
      <w:pPr>
        <w:spacing w:after="120" w:line="300" w:lineRule="auto"/>
      </w:pPr>
      <w:r>
        <w:rPr>
          <w:rFonts w:ascii="Calibri" w:hAnsi="Calibri"/>
          <w:b w:val="0"/>
          <w:i w:val="0"/>
          <w:color w:val="000000"/>
          <w:sz w:val="22"/>
        </w:rPr>
        <w:t>Audit data is retained at least as long as the associated record. Exports show filters, execution time and requester and are verified against on-screen source.</w:t>
      </w:r>
    </w:p>
    <w:p>
      <w:pPr>
        <w:spacing w:after="120" w:line="300" w:lineRule="auto"/>
      </w:pPr>
      <w:r>
        <w:rPr>
          <w:rFonts w:ascii="Calibri" w:hAnsi="Calibri"/>
          <w:b w:val="0"/>
          <w:i w:val="0"/>
          <w:color w:val="000000"/>
          <w:sz w:val="22"/>
        </w:rPr>
        <w:t>Critical audit events shall be reviewable without database access or supplier assistance. Review filters must allow business reviewers to locate changes by record, user, event type, time range and reason. Attempted prohibited actions, failed login bursts, privilege changes, time changes and interface reprocessing shall be visible for periodic trend review.</w:t>
      </w:r>
    </w:p>
    <w:tbl>
      <w:tblPr>
        <w:tblStyle w:val="TableGrid"/>
        <w:tblW w:type="dxa" w:w="9360"/>
        <w:tblLayout w:type="fixed"/>
        <w:tblLook w:firstColumn="1" w:firstRow="1" w:lastColumn="0" w:lastRow="0" w:noHBand="0" w:noVBand="1" w:val="04A0"/>
        <w:tblInd w:w="120" w:type="dxa"/>
      </w:tblPr>
      <w:tblGrid>
        <w:gridCol w:w="4262"/>
        <w:gridCol w:w="5098"/>
      </w:tblGrid>
      <w:tr>
        <w:trPr>
          <w:tblHeader w:val="true"/>
        </w:trPr>
        <w:tc>
          <w:tcPr>
            <w:tcW w:type="dxa" w:w="42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Audit-trail review need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Required capability</w:t>
            </w:r>
          </w:p>
        </w:tc>
      </w:tr>
      <w:tr>
        <w:tc>
          <w:tcPr>
            <w:tcW w:type="dxa" w:w="42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Record approval review</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Display critical changes, reasons and prior/new values for the record</w:t>
            </w:r>
          </w:p>
        </w:tc>
      </w:tr>
      <w:tr>
        <w:tc>
          <w:tcPr>
            <w:tcW w:type="dxa" w:w="42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Privileged activity review</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Show admin/vendor actions, target object and session context</w:t>
            </w:r>
          </w:p>
        </w:tc>
      </w:tr>
      <w:tr>
        <w:tc>
          <w:tcPr>
            <w:tcW w:type="dxa" w:w="42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exception review</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Show reprocess action, reason, original message and outcome</w:t>
            </w:r>
          </w:p>
        </w:tc>
      </w:tr>
      <w:tr>
        <w:tc>
          <w:tcPr>
            <w:tcW w:type="dxa" w:w="42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Trend review</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Export events with filters and reviewer decision retained</w:t>
            </w:r>
          </w:p>
        </w:tc>
      </w:tr>
      <w:tr>
        <w:tc>
          <w:tcPr>
            <w:tcW w:type="dxa" w:w="42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Inspection retrieval</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Produce human-readable copy tied to the associated regulated record</w:t>
            </w:r>
          </w:p>
        </w:tc>
      </w:tr>
    </w:tbl>
    <w:p>
      <w:pPr>
        <w:spacing w:after="80"/>
      </w:pPr>
    </w:p>
    <w:p>
      <w:pPr>
        <w:pStyle w:val="Heading1"/>
      </w:pPr>
      <w:r>
        <w:t>7.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QCL-2026-DIRA-001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Risk Assessment](012_Data_Integrity_Risk_Assessment.md)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QCL-2026-ERES-001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[21 CFR Part 11 and EU Annex 11 Assessment](013_21_CFR_Part_11_and_EU_Annex_11_Assessment.md)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QCL-2026-URS-001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Requirements Specification](022_User_Requirements_Specification.md)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Specification](023_Functional_Specification.md)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Specification](025_Configuration_Specification.md)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Challenge Test Report](054_Audit_Trail_Challenge_Test_Report.md)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SOP-QA-ATR-001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Audit Trail Review SOP](068_Audit_Trail_Review_SOP.md)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QCL-2027-ATR-001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[Periodic Audit Trail Review Record](081_Periodic_Audit_Trail_Review_Record.md)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QCL-2027-DIM-001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Monitoring and Trend Report](082_Data_Integrity_Monitoring_and_Trend_Report.md)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160"/>
        <w:gridCol w:w="3038"/>
        <w:gridCol w:w="3162"/>
      </w:tblGrid>
      <w:tr>
        <w:trPr>
          <w:tblHeader w:val="true"/>
        </w:trPr>
        <w:tc>
          <w:tcPr>
            <w:tcW w:type="dxa" w:w="31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3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1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Vendor Solution Architect</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CSV Lead</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2026-10-31</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QCL-2026-ATS-001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QCL-2026-ATS-001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Trail Specification</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