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Backup and Restore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Scope and objectives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Backup protects database, attachments, configuration, audit logs, gateway and archive records. Recovery objectives are RPO 15 minutes and RTO 8 hours for a declared production disaster.</w:t>
      </w:r>
    </w:p>
    <w:p>
      <w:pPr>
        <w:pStyle w:val="Heading1"/>
      </w:pPr>
      <w:r>
        <w:t>2. Backup schedule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6"/>
        <w:gridCol w:w="2743"/>
        <w:gridCol w:w="2474"/>
        <w:gridCol w:w="1075"/>
        <w:gridCol w:w="1562"/>
      </w:tblGrid>
      <w:tr>
        <w:trPr>
          <w:tblHeader w:val="true"/>
        </w:trPr>
        <w:tc>
          <w:tcPr>
            <w:tcW w:type="dxa" w:w="150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Data/component</w:t>
            </w:r>
          </w:p>
        </w:tc>
        <w:tc>
          <w:tcPr>
            <w:tcW w:type="dxa" w:w="274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Backup method/frequency</w:t>
            </w:r>
          </w:p>
        </w:tc>
        <w:tc>
          <w:tcPr>
            <w:tcW w:type="dxa" w:w="24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Retention</w:t>
            </w:r>
          </w:p>
        </w:tc>
        <w:tc>
          <w:tcPr>
            <w:tcW w:type="dxa" w:w="107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Protection</w:t>
            </w:r>
          </w:p>
        </w:tc>
        <w:tc>
          <w:tcPr>
            <w:tcW w:type="dxa" w:w="15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Owner/platform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database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Continuous transaction log/PITR plus nightly full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35 days online; monthly copy 1 year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AES-256 at rest/TLS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cloud backup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Attachments/object store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Nightly incremental, weekly full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90 days online; monthly copy 1 year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AES-256/TLS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cloud backup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Configuration/export package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 each approved release plus nightly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life + 2 years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Encrypted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+ secure repository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 gateway VM/config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Nightly image + configuration export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35 days; monthly 1 year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Encrypted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Veeam on-site/DR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Audit/log export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Daily immutable export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 years online; longer with related GMP record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WORM/encrypted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 log repository</w:t>
            </w:r>
          </w:p>
        </w:tc>
      </w:tr>
      <w:tr>
        <w:tc>
          <w:tcPr>
            <w:tcW w:type="dxa" w:w="1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archive</w:t>
            </w:r>
          </w:p>
        </w:tc>
        <w:tc>
          <w:tcPr>
            <w:tcW w:type="dxa" w:w="27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Monthly integrity scan and quarterly secondary copy</w:t>
            </w:r>
          </w:p>
        </w:tc>
        <w:tc>
          <w:tcPr>
            <w:tcW w:type="dxa" w:w="24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Applicable GMP retention period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Encrypted/read-only</w:t>
            </w:r>
          </w:p>
        </w:tc>
        <w:tc>
          <w:tcPr>
            <w:tcW w:type="dxa" w:w="15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ArchiveVault + secondary copy</w:t>
            </w:r>
          </w:p>
        </w:tc>
      </w:tr>
    </w:tbl>
    <w:p>
      <w:pPr>
        <w:spacing w:after="80"/>
      </w:pPr>
    </w:p>
    <w:p>
      <w:pPr>
        <w:pStyle w:val="Heading1"/>
      </w:pPr>
      <w:r>
        <w:t>3. Monitoring and exception handling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Automated jobs are monitored daily. Failed jobs alert IT and supplier support. A failed critical backup requires same-day rerun, incident record if the recovery window is at risk, and QA notification for potential GxP impact.</w:t>
      </w:r>
    </w:p>
    <w:p>
      <w:pPr>
        <w:pStyle w:val="Heading1"/>
      </w:pPr>
      <w:r>
        <w:t>4. Restore process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Authorise restore ticket and define recovery point/scope. 2. Isolate target environment and preserve original evidence. 3. Restore database, attachments, configuration and required logs. 4. Execute consistency checks, sample record retrieval, audit-trail and signature checks. 5. Reconcile selected records and interface status. 6. Approve return to service and retain the restore report.</w:t>
      </w:r>
    </w:p>
    <w:p>
      <w:pPr>
        <w:pStyle w:val="Heading1"/>
      </w:pPr>
      <w:r>
        <w:t>5. Test frequency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Technical restore at least annually and after major architecture change; application-level restore included in DR exercise. Archive secondary-copy retrieval is tested annually.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Restore evidence shall prove business usability, not only infrastructure success. The restore report shall include selected sample records, attachments, audit trails, signature manifestations, configuration baseline, interface status and user-access checks. If ransomware or destructive change is suspected, restoration shall use a clean recovery point and preserve forensic evidence before reconnecting interfaces.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52"/>
        <w:gridCol w:w="5308"/>
      </w:tblGrid>
      <w:tr>
        <w:trPr>
          <w:tblHeader w:val="true"/>
        </w:trPr>
        <w:tc>
          <w:tcPr>
            <w:tcW w:type="dxa" w:w="40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Restore evidence area</w:t>
            </w:r>
          </w:p>
        </w:tc>
        <w:tc>
          <w:tcPr>
            <w:tcW w:type="dxa" w:w="53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completeness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Selected records, attachments and metadata are retrievable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Audit/signature integrity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and signature meaning remain readable and linked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Restored baseline matches approved configuration/version record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consistency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Queues, acknowledgements and outstanding messages are reconciled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Return to service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owner, IT and QA approve readiness or document exception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QCL-2026-BRS-001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QCL-2026-BRS-001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Backup and Restore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