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Business Continuity and Disaster Recovery Plan</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QCL-2026-BCP-001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Design</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2026-10-31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QCL-2026-BCP-001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2026-10-31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Objectives</w:t>
      </w:r>
    </w:p>
    <w:p>
      <w:pPr>
        <w:spacing w:after="120" w:line="300" w:lineRule="auto"/>
      </w:pPr>
      <w:r>
        <w:rPr>
          <w:rFonts w:ascii="Calibri" w:hAnsi="Calibri"/>
          <w:b w:val="0"/>
          <w:i w:val="0"/>
          <w:color w:val="000000"/>
          <w:sz w:val="22"/>
        </w:rPr>
        <w:t>Maintain safe QC operations during outage and restore the system without loss or uncontrolled duplication. Target RPO is 15 minutes and RTO is 8 hours for declared disaster.</w:t>
      </w:r>
    </w:p>
    <w:p>
      <w:pPr>
        <w:pStyle w:val="Heading1"/>
      </w:pPr>
      <w:r>
        <w:t>2. Scenario matrix</w:t>
      </w:r>
    </w:p>
    <w:tbl>
      <w:tblPr>
        <w:tblStyle w:val="TableGrid"/>
        <w:tblW w:type="dxa" w:w="9360"/>
        <w:tblLayout w:type="fixed"/>
        <w:tblLook w:firstColumn="1" w:firstRow="1" w:lastColumn="0" w:lastRow="0" w:noHBand="0" w:noVBand="1" w:val="04A0"/>
        <w:tblInd w:w="120" w:type="dxa"/>
      </w:tblPr>
      <w:tblGrid>
        <w:gridCol w:w="1372"/>
        <w:gridCol w:w="2597"/>
        <w:gridCol w:w="2695"/>
        <w:gridCol w:w="2696"/>
      </w:tblGrid>
      <w:tr>
        <w:trPr>
          <w:tblHeader w:val="true"/>
        </w:trPr>
        <w:tc>
          <w:tcPr>
            <w:tcW w:type="dxa" w:w="137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Scenario</w:t>
            </w:r>
          </w:p>
        </w:tc>
        <w:tc>
          <w:tcPr>
            <w:tcW w:type="dxa" w:w="259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Immediate response</w:t>
            </w:r>
          </w:p>
        </w:tc>
        <w:tc>
          <w:tcPr>
            <w:tcW w:type="dxa" w:w="269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Continuity mode</w:t>
            </w:r>
          </w:p>
        </w:tc>
        <w:tc>
          <w:tcPr>
            <w:tcW w:type="dxa" w:w="269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Recovery</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Application unavailable</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Open P1 incident; confirm scope; notify QC/QA</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paper sample receipt/results where authorised</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Restore service; reconcile all contingency records</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gateway failure</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Queue upstream messages; stop direct capture</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Manual verified entry and controlled message log</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Restore gateway; replay/reconcile by message ID</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Cloud region disaster</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Declare DR after supplier/company approval</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Prioritise critical samples and paper controls</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Activate standby region and reconcile to recovery point</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Identity service unavailable</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 sealed break-glass accounts only if QA/IT approve</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Restricted critical operation</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Reconcile users/actions and disable break-glass</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event</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Isolate affected component; preserve evidence</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 unaffected validated controls/manual process</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Forensic assessment, clean recovery, QA release</w:t>
            </w:r>
          </w:p>
        </w:tc>
      </w:tr>
      <w:tr>
        <w:tc>
          <w:tcPr>
            <w:tcW w:type="dxa" w:w="137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 unavailable</w:t>
            </w:r>
          </w:p>
        </w:tc>
        <w:tc>
          <w:tcPr>
            <w:tcW w:type="dxa" w:w="259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 secondary archive copy</w:t>
            </w:r>
          </w:p>
        </w:tc>
        <w:tc>
          <w:tcPr>
            <w:tcW w:type="dxa" w:w="269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Inspection retrieval by Records Management</w:t>
            </w:r>
          </w:p>
        </w:tc>
        <w:tc>
          <w:tcPr>
            <w:tcW w:type="dxa" w:w="269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Restore primary and verify integrity</w:t>
            </w:r>
          </w:p>
        </w:tc>
      </w:tr>
    </w:tbl>
    <w:p>
      <w:pPr>
        <w:spacing w:after="80"/>
      </w:pPr>
    </w:p>
    <w:p>
      <w:pPr>
        <w:pStyle w:val="Heading1"/>
      </w:pPr>
      <w:r>
        <w:t>3. Roles and communications</w:t>
      </w:r>
    </w:p>
    <w:p>
      <w:pPr>
        <w:spacing w:after="120" w:line="300" w:lineRule="auto"/>
      </w:pPr>
      <w:r>
        <w:rPr>
          <w:rFonts w:ascii="Calibri" w:hAnsi="Calibri"/>
          <w:b w:val="0"/>
          <w:i w:val="0"/>
          <w:color w:val="000000"/>
          <w:sz w:val="22"/>
        </w:rPr>
        <w:t>Incident Commander: IT Duty Manager. Business Continuity Lead: QC BPO. GxP impact: QA. Technical recovery: Supplier + IT. External/regulatory communication: Site Quality Head/Regulatory Affairs.</w:t>
      </w:r>
    </w:p>
    <w:p>
      <w:pPr>
        <w:pStyle w:val="Heading1"/>
      </w:pPr>
      <w:r>
        <w:t>4. Manual continuity controls</w:t>
      </w:r>
    </w:p>
    <w:p>
      <w:pPr>
        <w:spacing w:after="120" w:line="300" w:lineRule="auto"/>
      </w:pPr>
      <w:r>
        <w:rPr>
          <w:rFonts w:ascii="Calibri" w:hAnsi="Calibri"/>
          <w:b w:val="0"/>
          <w:i w:val="0"/>
          <w:color w:val="000000"/>
          <w:sz w:val="22"/>
        </w:rPr>
        <w:t>Pre-numbered controlled forms capture sample ID, source request, date/time, user, instrument/raw-data reference, result, unit, reason, verifier and later electronic reconciliation ID. Forms are issued/logged by QC and reconciled 100% after recovery.</w:t>
      </w:r>
    </w:p>
    <w:p>
      <w:pPr>
        <w:pStyle w:val="Heading1"/>
      </w:pPr>
      <w:r>
        <w:t>5. DR activation and exit criteria</w:t>
      </w:r>
    </w:p>
    <w:p>
      <w:pPr>
        <w:spacing w:after="120" w:line="300" w:lineRule="auto"/>
      </w:pPr>
      <w:r>
        <w:rPr>
          <w:rFonts w:ascii="Calibri" w:hAnsi="Calibri"/>
          <w:b w:val="0"/>
          <w:i w:val="0"/>
          <w:color w:val="000000"/>
          <w:sz w:val="22"/>
        </w:rPr>
        <w:t>Activation requires credible inability to restore primary service within RTO or site leadership decision. Exit requires application health, identity, interfaces, backup, data reconciliation, sample retrieval and QA/business approval.</w:t>
      </w:r>
    </w:p>
    <w:p>
      <w:pPr>
        <w:pStyle w:val="Heading1"/>
      </w:pPr>
      <w:r>
        <w:t>6. Exercise frequency</w:t>
      </w:r>
    </w:p>
    <w:p>
      <w:pPr>
        <w:spacing w:after="120" w:line="300" w:lineRule="auto"/>
      </w:pPr>
      <w:r>
        <w:rPr>
          <w:rFonts w:ascii="Calibri" w:hAnsi="Calibri"/>
          <w:b w:val="0"/>
          <w:i w:val="0"/>
          <w:color w:val="000000"/>
          <w:sz w:val="22"/>
        </w:rPr>
        <w:t>Annual technical DR exercise and annual business-continuity tabletop; additional exercise after material architecture change or failed recovery.</w:t>
      </w:r>
    </w:p>
    <w:p>
      <w:pPr>
        <w:spacing w:after="120" w:line="300" w:lineRule="auto"/>
      </w:pPr>
      <w:r>
        <w:rPr>
          <w:rFonts w:ascii="Calibri" w:hAnsi="Calibri"/>
          <w:b w:val="0"/>
          <w:i w:val="0"/>
          <w:color w:val="000000"/>
          <w:sz w:val="22"/>
        </w:rPr>
        <w:t>Manual continuity records are controlled GMP originals until reconciled into QCLabOne or linked to the electronic record. After restoration, the System Owner and BPO shall reconcile issued forms, electronic entries, interface messages and sample status before routine processing resumes. Any unreconciled item is managed as an incident/deviation with QA disposition.</w:t>
      </w:r>
    </w:p>
    <w:tbl>
      <w:tblPr>
        <w:tblStyle w:val="TableGrid"/>
        <w:tblW w:type="dxa" w:w="9360"/>
        <w:tblLayout w:type="fixed"/>
        <w:tblLook w:firstColumn="1" w:firstRow="1" w:lastColumn="0" w:lastRow="0" w:noHBand="0" w:noVBand="1" w:val="04A0"/>
        <w:tblInd w:w="120" w:type="dxa"/>
      </w:tblPr>
      <w:tblGrid>
        <w:gridCol w:w="3702"/>
        <w:gridCol w:w="5658"/>
      </w:tblGrid>
      <w:tr>
        <w:trPr>
          <w:tblHeader w:val="true"/>
        </w:trPr>
        <w:tc>
          <w:tcPr>
            <w:tcW w:type="dxa" w:w="37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Continuity control</w:t>
            </w:r>
          </w:p>
        </w:tc>
        <w:tc>
          <w:tcPr>
            <w:tcW w:type="dxa" w:w="565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Exit evidence</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Form issuance</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Pre-numbered form log reconciled to returned forms</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Manual result entry</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Independent verification and reason for manual entry</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downtime</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Backlog processed or dispositioned with source/target counts</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decision hold</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Affected samples/batches identified and released from hold only after review</w:t>
            </w:r>
          </w:p>
        </w:tc>
      </w:tr>
      <w:tr>
        <w:tc>
          <w:tcPr>
            <w:tcW w:type="dxa" w:w="37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DR return</w:t>
            </w:r>
          </w:p>
        </w:tc>
        <w:tc>
          <w:tcPr>
            <w:tcW w:type="dxa" w:w="565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Health checks, retrieval checks and QA/business approval retained</w:t>
            </w:r>
          </w:p>
        </w:tc>
      </w:tr>
    </w:tbl>
    <w:p>
      <w:pPr>
        <w:spacing w:after="80"/>
      </w:pPr>
    </w:p>
    <w:p>
      <w:pPr>
        <w:pStyle w:val="Heading1"/>
      </w:pPr>
      <w:r>
        <w:t>7.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QCL-2026-CYB-001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[Cybersecurity and Privacy Impact Assessment](014_Cybersecurity_and_Privacy_Impact_Assessment.md)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QCL-2026-QTA-001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[Quality/Technical Agreement and Service Level Agreement](020_Quality_Technical_Agreement_and_SLA.md)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Design Specification](024_System_Design_Specification.md)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QCL-2026-IAD-001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[Infrastructure and Architecture Design](026_Infrastructure_and_Architecture_Design.md)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[Backup and Restore Specification](034_Backup_and_Restore_Specification.md)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QCL-2026-DRT-001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[Failover and Disaster Recovery Test Report](058_Failover_and_Disaster_Recovery_Test_Report.md)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SOP-IT-LIMS-002</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Operations, Maintenance, Backup, Incident, Change and Security SOP](069_Operations_Maintenance_Backup_Incident_Change_and_Security_SOP.md)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QCL-2026-CUT-001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[Cutover, Rollback and Contingency Plan](072_Cutover_Rollback_and_Contingency_Plan.md)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QCL-2027-INC-014</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[Incident Record and Impact Assessment](085_Incident_Record_and_Impact_Assessment.md)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QCL-2028-DRE-001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Continuity and Disaster Recovery Exercise Report](095_Business_Continuity_and_DR_Exercise_Report.md)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160"/>
        <w:gridCol w:w="3038"/>
        <w:gridCol w:w="3162"/>
      </w:tblGrid>
      <w:tr>
        <w:trPr>
          <w:tblHeader w:val="true"/>
        </w:trPr>
        <w:tc>
          <w:tcPr>
            <w:tcW w:type="dxa" w:w="316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3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16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Vendor Solution Architect</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160"/>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3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CSV Lead</w:t>
            </w:r>
          </w:p>
        </w:tc>
        <w:tc>
          <w:tcPr>
            <w:tcW w:type="dxa" w:w="316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2026-10-31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QCL-2026-BCP-001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QCL-2026-BCP-001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Continuity and Disaster Recovery Plan</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