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Data Migration Strategy and Plan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 Migration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 Migration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Migration objectives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Move active/required legacy data into QCLabOne and retain remaining historical records in ArchiveVault without loss of meaning, relationships, metadata, audit trail or retrievability.</w:t>
      </w:r>
    </w:p>
    <w:p>
      <w:pPr>
        <w:pStyle w:val="Heading1"/>
      </w:pPr>
      <w:r>
        <w:t>2. Scope and disposition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57"/>
        <w:gridCol w:w="2005"/>
        <w:gridCol w:w="4598"/>
      </w:tblGrid>
      <w:tr>
        <w:trPr>
          <w:tblHeader w:val="true"/>
        </w:trPr>
        <w:tc>
          <w:tcPr>
            <w:tcW w:type="dxa" w:w="275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Source</w:t>
            </w:r>
          </w:p>
        </w:tc>
        <w:tc>
          <w:tcPr>
            <w:tcW w:type="dxa" w:w="200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Volume</w:t>
            </w:r>
          </w:p>
        </w:tc>
        <w:tc>
          <w:tcPr>
            <w:tcW w:type="dxa" w:w="45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Disposition</w:t>
            </w:r>
          </w:p>
        </w:tc>
      </w:tr>
      <w:tr>
        <w:tc>
          <w:tcPr>
            <w:tcW w:type="dxa" w:w="2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LIMS samples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86,742</w:t>
            </w:r>
          </w:p>
        </w:tc>
        <w:tc>
          <w:tcPr>
            <w:tcW w:type="dxa" w:w="4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2018–cutover active/required records migrated; all records archived</w:t>
            </w:r>
          </w:p>
        </w:tc>
      </w:tr>
      <w:tr>
        <w:tc>
          <w:tcPr>
            <w:tcW w:type="dxa" w:w="2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LIMS results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326,115</w:t>
            </w:r>
          </w:p>
        </w:tc>
        <w:tc>
          <w:tcPr>
            <w:tcW w:type="dxa" w:w="4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Associated active records migrated; all results archived</w:t>
            </w:r>
          </w:p>
        </w:tc>
      </w:tr>
      <w:tr>
        <w:tc>
          <w:tcPr>
            <w:tcW w:type="dxa" w:w="2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Attachments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24,806</w:t>
            </w:r>
          </w:p>
        </w:tc>
        <w:tc>
          <w:tcPr>
            <w:tcW w:type="dxa" w:w="4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Migrated or archived with SHA-256 checksum</w:t>
            </w:r>
          </w:p>
        </w:tc>
      </w:tr>
      <w:tr>
        <w:tc>
          <w:tcPr>
            <w:tcW w:type="dxa" w:w="2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Active stability pulls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1,984</w:t>
            </w:r>
          </w:p>
        </w:tc>
        <w:tc>
          <w:tcPr>
            <w:tcW w:type="dxa" w:w="4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Migrated with schedules and history</w:t>
            </w:r>
          </w:p>
        </w:tc>
      </w:tr>
      <w:tr>
        <w:tc>
          <w:tcPr>
            <w:tcW w:type="dxa" w:w="2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Stability/reagent/EM spreadsheets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12 controlled workbooks</w:t>
            </w:r>
          </w:p>
        </w:tc>
        <w:tc>
          <w:tcPr>
            <w:tcW w:type="dxa" w:w="4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Active data migrated after profiling; source preserved</w:t>
            </w:r>
          </w:p>
        </w:tc>
      </w:tr>
      <w:tr>
        <w:tc>
          <w:tcPr>
            <w:tcW w:type="dxa" w:w="27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Selected paper indexes</w:t>
            </w:r>
          </w:p>
        </w:tc>
        <w:tc>
          <w:tcPr>
            <w:tcW w:type="dxa" w:w="2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 indexes / 9,420 images</w:t>
            </w:r>
          </w:p>
        </w:tc>
        <w:tc>
          <w:tcPr>
            <w:tcW w:type="dxa" w:w="45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Index and approved image set archived; paper remains per retention</w:t>
            </w:r>
          </w:p>
        </w:tc>
      </w:tr>
    </w:tbl>
    <w:p>
      <w:pPr>
        <w:spacing w:after="80"/>
      </w:pPr>
    </w:p>
    <w:p>
      <w:pPr>
        <w:pStyle w:val="Heading1"/>
      </w:pPr>
      <w:r>
        <w:t>3. Migration phases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1. Source freeze/profile. 2. Mapping and transformation approval. 3. Trial migration 1—technical completeness. 4. Cleansing and rule refinement. 5. Trial migration 2—business/UAT and performance. 6. Production extraction and freeze. 7. Load, reconciliation and exception disposition. 8. Business/QA acceptance. 9. Legacy read-only period and final archive verification.</w:t>
      </w:r>
    </w:p>
    <w:p>
      <w:pPr>
        <w:pStyle w:val="Heading1"/>
      </w:pPr>
      <w:r>
        <w:t>4. Acceptance criteria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Source/target counts reconcile 100% or have approved explained exclusions.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Critical fields for migrated active records are checked 100%.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 statistically justified sample of noncritical fields meets ≥99.5% accuracy, with no systemic defect.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Attachments reconcile by count and checksum.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Parent/child relationships and audit histories pass defined checks.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No critical/high migration exception remains before go-live.</w:t>
      </w:r>
    </w:p>
    <w:p>
      <w:pPr>
        <w:pStyle w:val="Heading1"/>
      </w:pPr>
      <w:r>
        <w:t>5. Security and source protection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Extraction uses read-only accounts and encrypted transfer. Source backups are retained. Production source is frozen during final migration except approved emergency transactions, which are separately reconciled.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Each trial migration has a formal entry and exit decision. Trial 1 validates technical extraction/loading and identifies profiling issues. Trial 2 validates approved mapping, cleansing rules and reconciliation approach. Final migration may start only after open critical/high exceptions are closed, source freeze is confirmed, rollback criteria are agreed and business owners accept residual migration risk.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57"/>
        <w:gridCol w:w="6203"/>
      </w:tblGrid>
      <w:tr>
        <w:trPr>
          <w:tblHeader w:val="true"/>
        </w:trPr>
        <w:tc>
          <w:tcPr>
            <w:tcW w:type="dxa" w:w="315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Migration gate</w:t>
            </w:r>
          </w:p>
        </w:tc>
        <w:tc>
          <w:tcPr>
            <w:tcW w:type="dxa" w:w="6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Exit evidence</w:t>
            </w:r>
          </w:p>
        </w:tc>
      </w:tr>
      <w:tr>
        <w:tc>
          <w:tcPr>
            <w:tcW w:type="dxa" w:w="3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Profiling complete</w:t>
            </w:r>
          </w:p>
        </w:tc>
        <w:tc>
          <w:tcPr>
            <w:tcW w:type="dxa" w:w="6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Source counts, data-quality issues and mapping gaps documented</w:t>
            </w:r>
          </w:p>
        </w:tc>
      </w:tr>
      <w:tr>
        <w:tc>
          <w:tcPr>
            <w:tcW w:type="dxa" w:w="3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Trial migration 1</w:t>
            </w:r>
          </w:p>
        </w:tc>
        <w:tc>
          <w:tcPr>
            <w:tcW w:type="dxa" w:w="6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Load path proven and major technical issues logged</w:t>
            </w:r>
          </w:p>
        </w:tc>
      </w:tr>
      <w:tr>
        <w:tc>
          <w:tcPr>
            <w:tcW w:type="dxa" w:w="3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Trial migration 2</w:t>
            </w:r>
          </w:p>
        </w:tc>
        <w:tc>
          <w:tcPr>
            <w:tcW w:type="dxa" w:w="6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Mapping baseline, reconciliation report and exception disposition accepted</w:t>
            </w:r>
          </w:p>
        </w:tc>
      </w:tr>
      <w:tr>
        <w:tc>
          <w:tcPr>
            <w:tcW w:type="dxa" w:w="3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Final migration readiness</w:t>
            </w:r>
          </w:p>
        </w:tc>
        <w:tc>
          <w:tcPr>
            <w:tcW w:type="dxa" w:w="6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Freeze plan, rollback plan, trained team and approval to proceed</w:t>
            </w:r>
          </w:p>
        </w:tc>
      </w:tr>
      <w:tr>
        <w:tc>
          <w:tcPr>
            <w:tcW w:type="dxa" w:w="31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Post-migration acceptance</w:t>
            </w:r>
          </w:p>
        </w:tc>
        <w:tc>
          <w:tcPr>
            <w:tcW w:type="dxa" w:w="6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Counts, critical fields, relationships, attachments and retrieval accepted</w:t>
            </w:r>
          </w:p>
        </w:tc>
      </w:tr>
    </w:tbl>
    <w:p>
      <w:pPr>
        <w:spacing w:after="80"/>
      </w:pP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Scope Statement](006_Project_Scope_Statement.md)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Risk Assessment](012_Data_Integrity_Risk_Assessment.md)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Mapping, Cleansing and Transformation Specification](037_Data_Mapping_Cleansing_and_Transformation_Specification.md)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QCL-2026-PDM-001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Data Migration Execution and Reconciliation Record](073_Production_Data_Migration_Execution_and_Reconciliation_Record.md)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QCL-2028-LAR-001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Data Archiving and Retention Plan](102_Legacy_Data_Archiving_and_Retention_Plan.md)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QCL-2028-AVR-001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Archive Verification and Retrievability Report](103_Legacy_Archive_Verification_and_Retrievability_Report.md)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27"/>
        <w:gridCol w:w="2504"/>
        <w:gridCol w:w="3429"/>
      </w:tblGrid>
      <w:tr>
        <w:trPr>
          <w:tblHeader w:val="true"/>
        </w:trPr>
        <w:tc>
          <w:tcPr>
            <w:tcW w:type="dxa" w:w="342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50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42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 Migration Lead</w:t>
            </w:r>
          </w:p>
        </w:tc>
        <w:tc>
          <w:tcPr>
            <w:tcW w:type="dxa" w:w="3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Data Owner</w:t>
            </w:r>
          </w:p>
        </w:tc>
        <w:tc>
          <w:tcPr>
            <w:tcW w:type="dxa" w:w="3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QCL-2026-DMP-001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QCL-2026-DMP-001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Migration Strategy and Plan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