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595959"/>
          <w:sz w:val="19"/>
        </w:rPr>
        <w:t>GMP CSV Controlled Document</w:t>
      </w:r>
    </w:p>
    <w:p>
      <w:pPr>
        <w:spacing w:after="80"/>
      </w:pPr>
      <w:r>
        <w:rPr>
          <w:rFonts w:ascii="Calibri" w:hAnsi="Calibri"/>
          <w:b/>
          <w:color w:val="0B2545"/>
          <w:sz w:val="44"/>
        </w:rPr>
        <w:t>Installation, Build and Configuration Record</w:t>
      </w:r>
    </w:p>
    <w:p>
      <w:pPr>
        <w:spacing w:after="200"/>
      </w:pPr>
      <w:r>
        <w:rPr>
          <w:rFonts w:ascii="Calibri" w:hAnsi="Calibri"/>
          <w:color w:val="595959"/>
          <w:sz w:val="23"/>
        </w:rPr>
        <w:t>QCLabOne 2.0 QC Laboratory Digital Platform Replacement Project</w:t>
      </w:r>
    </w:p>
    <w:tbl>
      <w:tblPr>
        <w:tblStyle w:val="TableGrid"/>
        <w:tblW w:type="dxa" w:w="9360"/>
        <w:tblLayout w:type="fixed"/>
        <w:tblLook w:firstColumn="1" w:firstRow="1" w:lastColumn="0" w:lastRow="0" w:noHBand="0" w:noVBand="1" w:val="04A0"/>
        <w:tblInd w:w="120" w:type="dxa"/>
      </w:tblPr>
      <w:tblGrid>
        <w:gridCol w:w="2700"/>
        <w:gridCol w:w="6660"/>
      </w:tblGrid>
      <w:tr>
        <w:trPr>
          <w:tblHeader w:val="true"/>
        </w:trPr>
        <w:tc>
          <w:tcPr>
            <w:tcW w:type="dxa" w:w="270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Control Field</w:t>
            </w:r>
          </w:p>
        </w:tc>
        <w:tc>
          <w:tcPr>
            <w:tcW w:type="dxa" w:w="666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Value</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Document number</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QCL-2026-BLD-001</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System</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QCLabOne 2.0 LIMS/LES</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Lifecycle phase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Build and Installation</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Version</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1.0</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Effective/record date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2026-12-20</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Status</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Approved in fictional case</w:t>
            </w:r>
          </w:p>
        </w:tc>
      </w:tr>
    </w:tbl>
    <w:p>
      <w:pPr>
        <w:spacing w:after="80"/>
      </w:pPr>
    </w:p>
    <w:tbl>
      <w:tblPr>
        <w:tblStyle w:val="TableGrid"/>
        <w:tblW w:type="dxa" w:w="9360"/>
        <w:tblLayout w:type="fixed"/>
        <w:tblLook w:firstColumn="1" w:firstRow="1" w:lastColumn="0" w:lastRow="0" w:noHBand="0" w:noVBand="1" w:val="04A0"/>
        <w:tblInd w:w="120" w:type="dxa"/>
      </w:tblPr>
      <w:tblGrid>
        <w:gridCol w:w="9360"/>
      </w:tblGrid>
      <w:tr>
        <w:tc>
          <w:tcPr>
            <w:tcW w:type="dxa" w:w="9360"/>
            <w:shd w:fill="F7F9FC"/>
            <w:vAlign w:val="center"/>
            <w:tcMar>
              <w:top w:w="80" w:type="dxa"/>
              <w:bottom w:w="80" w:type="dxa"/>
              <w:start w:w="120" w:type="dxa"/>
              <w:end w:w="120" w:type="dxa"/>
            </w:tcMar>
          </w:tcPr>
          <w:p>
            <w:pPr>
              <w:spacing w:after="0" w:line="276" w:lineRule="auto"/>
            </w:pPr>
            <w:r/>
            <w:r>
              <w:rPr>
                <w:rFonts w:ascii="Calibri" w:hAnsi="Calibri"/>
                <w:b w:val="0"/>
                <w:color w:val="595959"/>
                <w:sz w:val="19"/>
              </w:rPr>
              <w:t>Use notice: This Markdown file is a fully populated fictional CSV training case. It is not an executed GMP record and does not replace company procedures, approved signatures, supplier evidence, or site-specific risk decisions.</w:t>
            </w:r>
          </w:p>
        </w:tc>
      </w:tr>
    </w:tbl>
    <w:p>
      <w:pPr>
        <w:spacing w:after="80"/>
      </w:pPr>
    </w:p>
    <w:p>
      <w:pPr>
        <w:pStyle w:val="Heading1"/>
      </w:pPr>
      <w:r>
        <w:t>Document control</w:t>
      </w:r>
    </w:p>
    <w:tbl>
      <w:tblPr>
        <w:tblStyle w:val="TableGrid"/>
        <w:tblW w:type="dxa" w:w="9360"/>
        <w:tblLayout w:type="fixed"/>
        <w:tblLook w:firstColumn="1" w:firstRow="1" w:lastColumn="0" w:lastRow="0" w:noHBand="0" w:noVBand="1" w:val="04A0"/>
        <w:tblInd w:w="120" w:type="dxa"/>
      </w:tblPr>
      <w:tblGrid>
        <w:gridCol w:w="2586"/>
        <w:gridCol w:w="6774"/>
      </w:tblGrid>
      <w:tr>
        <w:trPr>
          <w:tblHeader w:val="true"/>
        </w:trPr>
        <w:tc>
          <w:tcPr>
            <w:tcW w:type="dxa" w:w="2586"/>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Field</w:t>
            </w:r>
          </w:p>
        </w:tc>
        <w:tc>
          <w:tcPr>
            <w:tcW w:type="dxa" w:w="677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Value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Document number</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QCL-2026-BLD-001</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Company</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NovaSterile Pharma Co., Ltd.</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Suzhou Sterile Products Manufacturing Site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Project</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QC Laboratory Digital Platform Replacement Project</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LIMS/LES</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Lifecycle phase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Build and Installation</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Version</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1.0</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Effective/record date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2026-12-20</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Case status</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Governing references</w:t>
      </w:r>
    </w:p>
    <w:p>
      <w:pPr>
        <w:pStyle w:val="ListBullet"/>
        <w:spacing w:after="80" w:line="300" w:lineRule="auto"/>
      </w:pPr>
      <w:r>
        <w:rPr>
          <w:rFonts w:ascii="Calibri" w:hAnsi="Calibri"/>
          <w:color w:val="000000"/>
          <w:sz w:val="22"/>
        </w:rPr>
        <w:t>China GMP (2010 Revision), Appendix: Computerised Systems (effective 1 December 2015)</w:t>
      </w:r>
    </w:p>
    <w:p>
      <w:pPr>
        <w:pStyle w:val="ListBullet"/>
        <w:spacing w:after="80" w:line="300" w:lineRule="auto"/>
      </w:pPr>
      <w:r>
        <w:rPr>
          <w:rFonts w:ascii="Calibri" w:hAnsi="Calibri"/>
          <w:color w:val="000000"/>
          <w:sz w:val="22"/>
        </w:rPr>
        <w:t>China GMP (2010 Revision), Appendix: Qualification and Validation (effective 1 December 2015)</w:t>
      </w:r>
    </w:p>
    <w:p>
      <w:pPr>
        <w:pStyle w:val="ListBullet"/>
        <w:spacing w:after="80" w:line="300" w:lineRule="auto"/>
      </w:pPr>
      <w:r>
        <w:rPr>
          <w:rFonts w:ascii="Calibri" w:hAnsi="Calibri"/>
          <w:color w:val="000000"/>
          <w:sz w:val="22"/>
        </w:rPr>
        <w:t>EU GMP Annex 11: Computerised Systems (2011)</w:t>
      </w:r>
    </w:p>
    <w:p>
      <w:pPr>
        <w:pStyle w:val="ListBullet"/>
        <w:spacing w:after="80" w:line="300" w:lineRule="auto"/>
      </w:pPr>
      <w:r>
        <w:rPr>
          <w:rFonts w:ascii="Calibri" w:hAnsi="Calibri"/>
          <w:color w:val="000000"/>
          <w:sz w:val="22"/>
        </w:rPr>
        <w:t>EU GMP Annex 15: Qualification and Validation (2015)</w:t>
      </w:r>
    </w:p>
    <w:p>
      <w:pPr>
        <w:pStyle w:val="ListBullet"/>
        <w:spacing w:after="80" w:line="300" w:lineRule="auto"/>
      </w:pPr>
      <w:r>
        <w:rPr>
          <w:rFonts w:ascii="Calibri" w:hAnsi="Calibri"/>
          <w:color w:val="000000"/>
          <w:sz w:val="22"/>
        </w:rPr>
        <w:t>21 CFR Part 11: Electronic Records; Electronic Signatures</w:t>
      </w:r>
    </w:p>
    <w:p>
      <w:pPr>
        <w:pStyle w:val="ListBullet"/>
        <w:spacing w:after="80" w:line="300" w:lineRule="auto"/>
      </w:pPr>
      <w:r>
        <w:rPr>
          <w:rFonts w:ascii="Calibri" w:hAnsi="Calibri"/>
          <w:color w:val="000000"/>
          <w:sz w:val="22"/>
        </w:rPr>
        <w:t>FDA Guidance: Part 11, Electronic Records; Electronic Signatures — Scope and Application</w:t>
      </w:r>
    </w:p>
    <w:p>
      <w:pPr>
        <w:pStyle w:val="ListBullet"/>
        <w:spacing w:after="80" w:line="300" w:lineRule="auto"/>
      </w:pPr>
      <w:r>
        <w:rPr>
          <w:rFonts w:ascii="Calibri" w:hAnsi="Calibri"/>
          <w:color w:val="000000"/>
          <w:sz w:val="22"/>
        </w:rPr>
        <w:t>PIC/S PI 041-1: Good Practices for Data Management and Integrity in Regulated GMP/GDP Environments (2021)</w:t>
      </w:r>
    </w:p>
    <w:p>
      <w:pPr>
        <w:pStyle w:val="ListBullet"/>
        <w:spacing w:after="80" w:line="300" w:lineRule="auto"/>
      </w:pPr>
      <w:r>
        <w:rPr>
          <w:rFonts w:ascii="Calibri" w:hAnsi="Calibri"/>
          <w:color w:val="000000"/>
          <w:sz w:val="22"/>
        </w:rPr>
        <w:t>ISPE GAMP 5, Second Edition (2022), used as non-binding industry guidance</w:t>
      </w:r>
    </w:p>
    <w:p>
      <w:pPr>
        <w:pStyle w:val="Heading1"/>
      </w:pPr>
      <w:r>
        <w:t>1. Purpose</w:t>
      </w:r>
    </w:p>
    <w:p>
      <w:pPr>
        <w:spacing w:after="120" w:line="300" w:lineRule="auto"/>
      </w:pPr>
      <w:r>
        <w:rPr>
          <w:rFonts w:ascii="Calibri" w:hAnsi="Calibri"/>
          <w:b w:val="0"/>
          <w:i w:val="0"/>
          <w:color w:val="000000"/>
          <w:sz w:val="22"/>
        </w:rPr>
        <w:t>This record documents the controlled installation, build, deployment and configuration of the validated environments.</w:t>
      </w:r>
    </w:p>
    <w:p>
      <w:pPr>
        <w:pStyle w:val="Heading1"/>
      </w:pPr>
      <w:r>
        <w:t>2. Build execution record</w:t>
      </w:r>
    </w:p>
    <w:tbl>
      <w:tblPr>
        <w:tblStyle w:val="TableGrid"/>
        <w:tblW w:type="dxa" w:w="9360"/>
        <w:tblLayout w:type="fixed"/>
        <w:tblLook w:firstColumn="1" w:firstRow="1" w:lastColumn="0" w:lastRow="0" w:noHBand="0" w:noVBand="1" w:val="04A0"/>
        <w:tblInd w:w="120" w:type="dxa"/>
      </w:tblPr>
      <w:tblGrid>
        <w:gridCol w:w="720"/>
        <w:gridCol w:w="2800"/>
        <w:gridCol w:w="737"/>
        <w:gridCol w:w="4053"/>
        <w:gridCol w:w="1050"/>
      </w:tblGrid>
      <w:tr>
        <w:trPr>
          <w:tblHeader w:val="true"/>
        </w:trPr>
        <w:tc>
          <w:tcPr>
            <w:tcW w:type="dxa" w:w="720"/>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7"/>
              </w:rPr>
              <w:t>Step</w:t>
            </w:r>
          </w:p>
        </w:tc>
        <w:tc>
          <w:tcPr>
            <w:tcW w:type="dxa" w:w="2800"/>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7"/>
              </w:rPr>
              <w:t>Activity</w:t>
            </w:r>
          </w:p>
        </w:tc>
        <w:tc>
          <w:tcPr>
            <w:tcW w:type="dxa" w:w="737"/>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7"/>
              </w:rPr>
              <w:t>Date</w:t>
            </w:r>
          </w:p>
        </w:tc>
        <w:tc>
          <w:tcPr>
            <w:tcW w:type="dxa" w:w="4053"/>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7"/>
              </w:rPr>
              <w:t>Actual result/evidence</w:t>
            </w:r>
          </w:p>
        </w:tc>
        <w:tc>
          <w:tcPr>
            <w:tcW w:type="dxa" w:w="1050"/>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7"/>
              </w:rPr>
              <w:t>Status</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7"/>
              </w:rPr>
              <w:t>BLD-001</w:t>
            </w:r>
          </w:p>
        </w:tc>
        <w:tc>
          <w:tcPr>
            <w:tcW w:type="dxa" w:w="2800"/>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Supplier production tenant provisioned</w:t>
            </w:r>
          </w:p>
        </w:tc>
        <w:tc>
          <w:tcPr>
            <w:tcW w:type="dxa" w:w="737"/>
            <w:vAlign w:val="center"/>
            <w:tcMar>
              <w:top w:w="80" w:type="dxa"/>
              <w:bottom w:w="80" w:type="dxa"/>
              <w:start w:w="120" w:type="dxa"/>
              <w:end w:w="120" w:type="dxa"/>
            </w:tcMar>
          </w:tcPr>
          <w:p>
            <w:pPr>
              <w:spacing w:after="0" w:line="276" w:lineRule="auto"/>
              <w:jc w:val="center"/>
            </w:pPr>
            <w:r/>
            <w:r>
              <w:rPr>
                <w:rFonts w:ascii="Calibri" w:hAnsi="Calibri"/>
                <w:b w:val="0"/>
                <w:color w:val="000000"/>
                <w:sz w:val="17"/>
              </w:rPr>
              <w:t>2026-11-10</w:t>
            </w:r>
          </w:p>
        </w:tc>
        <w:tc>
          <w:tcPr>
            <w:tcW w:type="dxa" w:w="4053"/>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Tenant QCL-PROD-CN-E01; dedicated; production label verified</w:t>
            </w:r>
          </w:p>
        </w:tc>
        <w:tc>
          <w:tcPr>
            <w:tcW w:type="dxa" w:w="1050"/>
            <w:vAlign w:val="center"/>
            <w:tcMar>
              <w:top w:w="80" w:type="dxa"/>
              <w:bottom w:w="80" w:type="dxa"/>
              <w:start w:w="120" w:type="dxa"/>
              <w:end w:w="120" w:type="dxa"/>
            </w:tcMar>
          </w:tcPr>
          <w:p>
            <w:pPr>
              <w:spacing w:after="0" w:line="276" w:lineRule="auto"/>
              <w:jc w:val="center"/>
            </w:pPr>
            <w:r/>
            <w:r>
              <w:rPr>
                <w:rFonts w:ascii="Calibri" w:hAnsi="Calibri"/>
                <w:b w:val="0"/>
                <w:color w:val="000000"/>
                <w:sz w:val="17"/>
              </w:rPr>
              <w:t>Accepted</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7"/>
              </w:rPr>
              <w:t>BLD-002</w:t>
            </w:r>
          </w:p>
        </w:tc>
        <w:tc>
          <w:tcPr>
            <w:tcW w:type="dxa" w:w="2800"/>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Validation tenant provisioned</w:t>
            </w:r>
          </w:p>
        </w:tc>
        <w:tc>
          <w:tcPr>
            <w:tcW w:type="dxa" w:w="737"/>
            <w:vAlign w:val="center"/>
            <w:tcMar>
              <w:top w:w="80" w:type="dxa"/>
              <w:bottom w:w="80" w:type="dxa"/>
              <w:start w:w="120" w:type="dxa"/>
              <w:end w:w="120" w:type="dxa"/>
            </w:tcMar>
          </w:tcPr>
          <w:p>
            <w:pPr>
              <w:spacing w:after="0" w:line="276" w:lineRule="auto"/>
              <w:jc w:val="center"/>
            </w:pPr>
            <w:r/>
            <w:r>
              <w:rPr>
                <w:rFonts w:ascii="Calibri" w:hAnsi="Calibri"/>
                <w:b w:val="0"/>
                <w:color w:val="000000"/>
                <w:sz w:val="17"/>
              </w:rPr>
              <w:t>2026-11-10</w:t>
            </w:r>
          </w:p>
        </w:tc>
        <w:tc>
          <w:tcPr>
            <w:tcW w:type="dxa" w:w="4053"/>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Tenant QCL-VAL-CN-E01</w:t>
            </w:r>
          </w:p>
        </w:tc>
        <w:tc>
          <w:tcPr>
            <w:tcW w:type="dxa" w:w="1050"/>
            <w:vAlign w:val="center"/>
            <w:tcMar>
              <w:top w:w="80" w:type="dxa"/>
              <w:bottom w:w="80" w:type="dxa"/>
              <w:start w:w="120" w:type="dxa"/>
              <w:end w:w="120" w:type="dxa"/>
            </w:tcMar>
          </w:tcPr>
          <w:p>
            <w:pPr>
              <w:spacing w:after="0" w:line="276" w:lineRule="auto"/>
              <w:jc w:val="center"/>
            </w:pPr>
            <w:r/>
            <w:r>
              <w:rPr>
                <w:rFonts w:ascii="Calibri" w:hAnsi="Calibri"/>
                <w:b w:val="0"/>
                <w:color w:val="000000"/>
                <w:sz w:val="17"/>
              </w:rPr>
              <w:t>Accepted</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7"/>
              </w:rPr>
              <w:t>BLD-003</w:t>
            </w:r>
          </w:p>
        </w:tc>
        <w:tc>
          <w:tcPr>
            <w:tcW w:type="dxa" w:w="2800"/>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Application release installed</w:t>
            </w:r>
          </w:p>
        </w:tc>
        <w:tc>
          <w:tcPr>
            <w:tcW w:type="dxa" w:w="737"/>
            <w:vAlign w:val="center"/>
            <w:tcMar>
              <w:top w:w="80" w:type="dxa"/>
              <w:bottom w:w="80" w:type="dxa"/>
              <w:start w:w="120" w:type="dxa"/>
              <w:end w:w="120" w:type="dxa"/>
            </w:tcMar>
          </w:tcPr>
          <w:p>
            <w:pPr>
              <w:spacing w:after="0" w:line="276" w:lineRule="auto"/>
              <w:jc w:val="center"/>
            </w:pPr>
            <w:r/>
            <w:r>
              <w:rPr>
                <w:rFonts w:ascii="Calibri" w:hAnsi="Calibri"/>
                <w:b w:val="0"/>
                <w:color w:val="000000"/>
                <w:sz w:val="17"/>
              </w:rPr>
              <w:t>2026-12-05</w:t>
            </w:r>
          </w:p>
        </w:tc>
        <w:tc>
          <w:tcPr>
            <w:tcW w:type="dxa" w:w="4053"/>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LabSphere LIMS/LES 8.4.2 + HF1; package SHA-256 8f3d...a91c</w:t>
            </w:r>
          </w:p>
        </w:tc>
        <w:tc>
          <w:tcPr>
            <w:tcW w:type="dxa" w:w="1050"/>
            <w:vAlign w:val="center"/>
            <w:tcMar>
              <w:top w:w="80" w:type="dxa"/>
              <w:bottom w:w="80" w:type="dxa"/>
              <w:start w:w="120" w:type="dxa"/>
              <w:end w:w="120" w:type="dxa"/>
            </w:tcMar>
          </w:tcPr>
          <w:p>
            <w:pPr>
              <w:spacing w:after="0" w:line="276" w:lineRule="auto"/>
              <w:jc w:val="center"/>
            </w:pPr>
            <w:r/>
            <w:r>
              <w:rPr>
                <w:rFonts w:ascii="Calibri" w:hAnsi="Calibri"/>
                <w:b w:val="0"/>
                <w:color w:val="000000"/>
                <w:sz w:val="17"/>
              </w:rPr>
              <w:t>Accepted</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7"/>
              </w:rPr>
              <w:t>BLD-004</w:t>
            </w:r>
          </w:p>
        </w:tc>
        <w:tc>
          <w:tcPr>
            <w:tcW w:type="dxa" w:w="2800"/>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Database service provisioned</w:t>
            </w:r>
          </w:p>
        </w:tc>
        <w:tc>
          <w:tcPr>
            <w:tcW w:type="dxa" w:w="737"/>
            <w:vAlign w:val="center"/>
            <w:tcMar>
              <w:top w:w="80" w:type="dxa"/>
              <w:bottom w:w="80" w:type="dxa"/>
              <w:start w:w="120" w:type="dxa"/>
              <w:end w:w="120" w:type="dxa"/>
            </w:tcMar>
          </w:tcPr>
          <w:p>
            <w:pPr>
              <w:spacing w:after="0" w:line="276" w:lineRule="auto"/>
              <w:jc w:val="center"/>
            </w:pPr>
            <w:r/>
            <w:r>
              <w:rPr>
                <w:rFonts w:ascii="Calibri" w:hAnsi="Calibri"/>
                <w:b w:val="0"/>
                <w:color w:val="000000"/>
                <w:sz w:val="17"/>
              </w:rPr>
              <w:t>2026-11-12</w:t>
            </w:r>
          </w:p>
        </w:tc>
        <w:tc>
          <w:tcPr>
            <w:tcW w:type="dxa" w:w="4053"/>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PostgreSQL 15.5 managed cluster; encryption enabled</w:t>
            </w:r>
          </w:p>
        </w:tc>
        <w:tc>
          <w:tcPr>
            <w:tcW w:type="dxa" w:w="1050"/>
            <w:vAlign w:val="center"/>
            <w:tcMar>
              <w:top w:w="80" w:type="dxa"/>
              <w:bottom w:w="80" w:type="dxa"/>
              <w:start w:w="120" w:type="dxa"/>
              <w:end w:w="120" w:type="dxa"/>
            </w:tcMar>
          </w:tcPr>
          <w:p>
            <w:pPr>
              <w:spacing w:after="0" w:line="276" w:lineRule="auto"/>
              <w:jc w:val="center"/>
            </w:pPr>
            <w:r/>
            <w:r>
              <w:rPr>
                <w:rFonts w:ascii="Calibri" w:hAnsi="Calibri"/>
                <w:b w:val="0"/>
                <w:color w:val="000000"/>
                <w:sz w:val="17"/>
              </w:rPr>
              <w:t>Accepted</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7"/>
              </w:rPr>
              <w:t>BLD-005</w:t>
            </w:r>
          </w:p>
        </w:tc>
        <w:tc>
          <w:tcPr>
            <w:tcW w:type="dxa" w:w="2800"/>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QCL-IGW-01 built</w:t>
            </w:r>
          </w:p>
        </w:tc>
        <w:tc>
          <w:tcPr>
            <w:tcW w:type="dxa" w:w="737"/>
            <w:vAlign w:val="center"/>
            <w:tcMar>
              <w:top w:w="80" w:type="dxa"/>
              <w:bottom w:w="80" w:type="dxa"/>
              <w:start w:w="120" w:type="dxa"/>
              <w:end w:w="120" w:type="dxa"/>
            </w:tcMar>
          </w:tcPr>
          <w:p>
            <w:pPr>
              <w:spacing w:after="0" w:line="276" w:lineRule="auto"/>
              <w:jc w:val="center"/>
            </w:pPr>
            <w:r/>
            <w:r>
              <w:rPr>
                <w:rFonts w:ascii="Calibri" w:hAnsi="Calibri"/>
                <w:b w:val="0"/>
                <w:color w:val="000000"/>
                <w:sz w:val="17"/>
              </w:rPr>
              <w:t>2026-11-18</w:t>
            </w:r>
          </w:p>
        </w:tc>
        <w:tc>
          <w:tcPr>
            <w:tcW w:type="dxa" w:w="4053"/>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Windows Server 2022 build 20348; Gateway 3.6.1</w:t>
            </w:r>
          </w:p>
        </w:tc>
        <w:tc>
          <w:tcPr>
            <w:tcW w:type="dxa" w:w="1050"/>
            <w:vAlign w:val="center"/>
            <w:tcMar>
              <w:top w:w="80" w:type="dxa"/>
              <w:bottom w:w="80" w:type="dxa"/>
              <w:start w:w="120" w:type="dxa"/>
              <w:end w:w="120" w:type="dxa"/>
            </w:tcMar>
          </w:tcPr>
          <w:p>
            <w:pPr>
              <w:spacing w:after="0" w:line="276" w:lineRule="auto"/>
              <w:jc w:val="center"/>
            </w:pPr>
            <w:r/>
            <w:r>
              <w:rPr>
                <w:rFonts w:ascii="Calibri" w:hAnsi="Calibri"/>
                <w:b w:val="0"/>
                <w:color w:val="000000"/>
                <w:sz w:val="17"/>
              </w:rPr>
              <w:t>Accepted</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7"/>
              </w:rPr>
              <w:t>BLD-006</w:t>
            </w:r>
          </w:p>
        </w:tc>
        <w:tc>
          <w:tcPr>
            <w:tcW w:type="dxa" w:w="2800"/>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Firewall/TLS routes enabled</w:t>
            </w:r>
          </w:p>
        </w:tc>
        <w:tc>
          <w:tcPr>
            <w:tcW w:type="dxa" w:w="737"/>
            <w:vAlign w:val="center"/>
            <w:tcMar>
              <w:top w:w="80" w:type="dxa"/>
              <w:bottom w:w="80" w:type="dxa"/>
              <w:start w:w="120" w:type="dxa"/>
              <w:end w:w="120" w:type="dxa"/>
            </w:tcMar>
          </w:tcPr>
          <w:p>
            <w:pPr>
              <w:spacing w:after="0" w:line="276" w:lineRule="auto"/>
              <w:jc w:val="center"/>
            </w:pPr>
            <w:r/>
            <w:r>
              <w:rPr>
                <w:rFonts w:ascii="Calibri" w:hAnsi="Calibri"/>
                <w:b w:val="0"/>
                <w:color w:val="000000"/>
                <w:sz w:val="17"/>
              </w:rPr>
              <w:t>2026-11-25</w:t>
            </w:r>
          </w:p>
        </w:tc>
        <w:tc>
          <w:tcPr>
            <w:tcW w:type="dxa" w:w="4053"/>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Rules FW-QCL-001–014; certificates valid to 2027-11-30</w:t>
            </w:r>
          </w:p>
        </w:tc>
        <w:tc>
          <w:tcPr>
            <w:tcW w:type="dxa" w:w="1050"/>
            <w:vAlign w:val="center"/>
            <w:tcMar>
              <w:top w:w="80" w:type="dxa"/>
              <w:bottom w:w="80" w:type="dxa"/>
              <w:start w:w="120" w:type="dxa"/>
              <w:end w:w="120" w:type="dxa"/>
            </w:tcMar>
          </w:tcPr>
          <w:p>
            <w:pPr>
              <w:spacing w:after="0" w:line="276" w:lineRule="auto"/>
              <w:jc w:val="center"/>
            </w:pPr>
            <w:r/>
            <w:r>
              <w:rPr>
                <w:rFonts w:ascii="Calibri" w:hAnsi="Calibri"/>
                <w:b w:val="0"/>
                <w:color w:val="000000"/>
                <w:sz w:val="17"/>
              </w:rPr>
              <w:t>Accepted</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7"/>
              </w:rPr>
              <w:t>BLD-007</w:t>
            </w:r>
          </w:p>
        </w:tc>
        <w:tc>
          <w:tcPr>
            <w:tcW w:type="dxa" w:w="2800"/>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SAML federation configured</w:t>
            </w:r>
          </w:p>
        </w:tc>
        <w:tc>
          <w:tcPr>
            <w:tcW w:type="dxa" w:w="737"/>
            <w:vAlign w:val="center"/>
            <w:tcMar>
              <w:top w:w="80" w:type="dxa"/>
              <w:bottom w:w="80" w:type="dxa"/>
              <w:start w:w="120" w:type="dxa"/>
              <w:end w:w="120" w:type="dxa"/>
            </w:tcMar>
          </w:tcPr>
          <w:p>
            <w:pPr>
              <w:spacing w:after="0" w:line="276" w:lineRule="auto"/>
              <w:jc w:val="center"/>
            </w:pPr>
            <w:r/>
            <w:r>
              <w:rPr>
                <w:rFonts w:ascii="Calibri" w:hAnsi="Calibri"/>
                <w:b w:val="0"/>
                <w:color w:val="000000"/>
                <w:sz w:val="17"/>
              </w:rPr>
              <w:t>2026-11-28</w:t>
            </w:r>
          </w:p>
        </w:tc>
        <w:tc>
          <w:tcPr>
            <w:tcW w:type="dxa" w:w="4053"/>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Entity ID qclabone-prod; signed assertions; group mapping</w:t>
            </w:r>
          </w:p>
        </w:tc>
        <w:tc>
          <w:tcPr>
            <w:tcW w:type="dxa" w:w="1050"/>
            <w:vAlign w:val="center"/>
            <w:tcMar>
              <w:top w:w="80" w:type="dxa"/>
              <w:bottom w:w="80" w:type="dxa"/>
              <w:start w:w="120" w:type="dxa"/>
              <w:end w:w="120" w:type="dxa"/>
            </w:tcMar>
          </w:tcPr>
          <w:p>
            <w:pPr>
              <w:spacing w:after="0" w:line="276" w:lineRule="auto"/>
              <w:jc w:val="center"/>
            </w:pPr>
            <w:r/>
            <w:r>
              <w:rPr>
                <w:rFonts w:ascii="Calibri" w:hAnsi="Calibri"/>
                <w:b w:val="0"/>
                <w:color w:val="000000"/>
                <w:sz w:val="17"/>
              </w:rPr>
              <w:t>Accepted</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7"/>
              </w:rPr>
              <w:t>BLD-008</w:t>
            </w:r>
          </w:p>
        </w:tc>
        <w:tc>
          <w:tcPr>
            <w:tcW w:type="dxa" w:w="2800"/>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Interfaces deployed</w:t>
            </w:r>
          </w:p>
        </w:tc>
        <w:tc>
          <w:tcPr>
            <w:tcW w:type="dxa" w:w="737"/>
            <w:vAlign w:val="center"/>
            <w:tcMar>
              <w:top w:w="80" w:type="dxa"/>
              <w:bottom w:w="80" w:type="dxa"/>
              <w:start w:w="120" w:type="dxa"/>
              <w:end w:w="120" w:type="dxa"/>
            </w:tcMar>
          </w:tcPr>
          <w:p>
            <w:pPr>
              <w:spacing w:after="0" w:line="276" w:lineRule="auto"/>
              <w:jc w:val="center"/>
            </w:pPr>
            <w:r/>
            <w:r>
              <w:rPr>
                <w:rFonts w:ascii="Calibri" w:hAnsi="Calibri"/>
                <w:b w:val="0"/>
                <w:color w:val="000000"/>
                <w:sz w:val="17"/>
              </w:rPr>
              <w:t>2026-12-12</w:t>
            </w:r>
          </w:p>
        </w:tc>
        <w:tc>
          <w:tcPr>
            <w:tcW w:type="dxa" w:w="4053"/>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SAP 2.1.0; eQMS 1.4.1; CDS 2.3.0; instrument adapter 3.6.1</w:t>
            </w:r>
          </w:p>
        </w:tc>
        <w:tc>
          <w:tcPr>
            <w:tcW w:type="dxa" w:w="1050"/>
            <w:vAlign w:val="center"/>
            <w:tcMar>
              <w:top w:w="80" w:type="dxa"/>
              <w:bottom w:w="80" w:type="dxa"/>
              <w:start w:w="120" w:type="dxa"/>
              <w:end w:w="120" w:type="dxa"/>
            </w:tcMar>
          </w:tcPr>
          <w:p>
            <w:pPr>
              <w:spacing w:after="0" w:line="276" w:lineRule="auto"/>
              <w:jc w:val="center"/>
            </w:pPr>
            <w:r/>
            <w:r>
              <w:rPr>
                <w:rFonts w:ascii="Calibri" w:hAnsi="Calibri"/>
                <w:b w:val="0"/>
                <w:color w:val="000000"/>
                <w:sz w:val="17"/>
              </w:rPr>
              <w:t>Accepted</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7"/>
              </w:rPr>
              <w:t>BLD-009</w:t>
            </w:r>
          </w:p>
        </w:tc>
        <w:tc>
          <w:tcPr>
            <w:tcW w:type="dxa" w:w="2800"/>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Site configuration package imported</w:t>
            </w:r>
          </w:p>
        </w:tc>
        <w:tc>
          <w:tcPr>
            <w:tcW w:type="dxa" w:w="737"/>
            <w:vAlign w:val="center"/>
            <w:tcMar>
              <w:top w:w="80" w:type="dxa"/>
              <w:bottom w:w="80" w:type="dxa"/>
              <w:start w:w="120" w:type="dxa"/>
              <w:end w:w="120" w:type="dxa"/>
            </w:tcMar>
          </w:tcPr>
          <w:p>
            <w:pPr>
              <w:spacing w:after="0" w:line="276" w:lineRule="auto"/>
              <w:jc w:val="center"/>
            </w:pPr>
            <w:r/>
            <w:r>
              <w:rPr>
                <w:rFonts w:ascii="Calibri" w:hAnsi="Calibri"/>
                <w:b w:val="0"/>
                <w:color w:val="000000"/>
                <w:sz w:val="17"/>
              </w:rPr>
              <w:t>2026-12-16</w:t>
            </w:r>
          </w:p>
        </w:tc>
        <w:tc>
          <w:tcPr>
            <w:tcW w:type="dxa" w:w="4053"/>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QCL-CONFIG-1.0; checksum 51aa...b2e7</w:t>
            </w:r>
          </w:p>
        </w:tc>
        <w:tc>
          <w:tcPr>
            <w:tcW w:type="dxa" w:w="1050"/>
            <w:vAlign w:val="center"/>
            <w:tcMar>
              <w:top w:w="80" w:type="dxa"/>
              <w:bottom w:w="80" w:type="dxa"/>
              <w:start w:w="120" w:type="dxa"/>
              <w:end w:w="120" w:type="dxa"/>
            </w:tcMar>
          </w:tcPr>
          <w:p>
            <w:pPr>
              <w:spacing w:after="0" w:line="276" w:lineRule="auto"/>
              <w:jc w:val="center"/>
            </w:pPr>
            <w:r/>
            <w:r>
              <w:rPr>
                <w:rFonts w:ascii="Calibri" w:hAnsi="Calibri"/>
                <w:b w:val="0"/>
                <w:color w:val="000000"/>
                <w:sz w:val="17"/>
              </w:rPr>
              <w:t>Accepted</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7"/>
              </w:rPr>
              <w:t>BLD-010</w:t>
            </w:r>
          </w:p>
        </w:tc>
        <w:tc>
          <w:tcPr>
            <w:tcW w:type="dxa" w:w="2800"/>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Monitoring/backup configured</w:t>
            </w:r>
          </w:p>
        </w:tc>
        <w:tc>
          <w:tcPr>
            <w:tcW w:type="dxa" w:w="737"/>
            <w:vAlign w:val="center"/>
            <w:tcMar>
              <w:top w:w="80" w:type="dxa"/>
              <w:bottom w:w="80" w:type="dxa"/>
              <w:start w:w="120" w:type="dxa"/>
              <w:end w:w="120" w:type="dxa"/>
            </w:tcMar>
          </w:tcPr>
          <w:p>
            <w:pPr>
              <w:spacing w:after="0" w:line="276" w:lineRule="auto"/>
              <w:jc w:val="center"/>
            </w:pPr>
            <w:r/>
            <w:r>
              <w:rPr>
                <w:rFonts w:ascii="Calibri" w:hAnsi="Calibri"/>
                <w:b w:val="0"/>
                <w:color w:val="000000"/>
                <w:sz w:val="17"/>
              </w:rPr>
              <w:t>2026-12-18</w:t>
            </w:r>
          </w:p>
        </w:tc>
        <w:tc>
          <w:tcPr>
            <w:tcW w:type="dxa" w:w="4053"/>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Dashboards, alerts, PITR and nightly jobs enabled</w:t>
            </w:r>
          </w:p>
        </w:tc>
        <w:tc>
          <w:tcPr>
            <w:tcW w:type="dxa" w:w="1050"/>
            <w:vAlign w:val="center"/>
            <w:tcMar>
              <w:top w:w="80" w:type="dxa"/>
              <w:bottom w:w="80" w:type="dxa"/>
              <w:start w:w="120" w:type="dxa"/>
              <w:end w:w="120" w:type="dxa"/>
            </w:tcMar>
          </w:tcPr>
          <w:p>
            <w:pPr>
              <w:spacing w:after="0" w:line="276" w:lineRule="auto"/>
              <w:jc w:val="center"/>
            </w:pPr>
            <w:r/>
            <w:r>
              <w:rPr>
                <w:rFonts w:ascii="Calibri" w:hAnsi="Calibri"/>
                <w:b w:val="0"/>
                <w:color w:val="000000"/>
                <w:sz w:val="17"/>
              </w:rPr>
              <w:t>Accepted</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7"/>
              </w:rPr>
              <w:t>BLD-011</w:t>
            </w:r>
          </w:p>
        </w:tc>
        <w:tc>
          <w:tcPr>
            <w:tcW w:type="dxa" w:w="2800"/>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Initial master data loaded</w:t>
            </w:r>
          </w:p>
        </w:tc>
        <w:tc>
          <w:tcPr>
            <w:tcW w:type="dxa" w:w="737"/>
            <w:vAlign w:val="center"/>
            <w:tcMar>
              <w:top w:w="80" w:type="dxa"/>
              <w:bottom w:w="80" w:type="dxa"/>
              <w:start w:w="120" w:type="dxa"/>
              <w:end w:w="120" w:type="dxa"/>
            </w:tcMar>
          </w:tcPr>
          <w:p>
            <w:pPr>
              <w:spacing w:after="0" w:line="276" w:lineRule="auto"/>
              <w:jc w:val="center"/>
            </w:pPr>
            <w:r/>
            <w:r>
              <w:rPr>
                <w:rFonts w:ascii="Calibri" w:hAnsi="Calibri"/>
                <w:b w:val="0"/>
                <w:color w:val="000000"/>
                <w:sz w:val="17"/>
              </w:rPr>
              <w:t>2026-12-19</w:t>
            </w:r>
          </w:p>
        </w:tc>
        <w:tc>
          <w:tcPr>
            <w:tcW w:type="dxa" w:w="4053"/>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Controlled load set MD-LOAD-01</w:t>
            </w:r>
          </w:p>
        </w:tc>
        <w:tc>
          <w:tcPr>
            <w:tcW w:type="dxa" w:w="1050"/>
            <w:vAlign w:val="center"/>
            <w:tcMar>
              <w:top w:w="80" w:type="dxa"/>
              <w:bottom w:w="80" w:type="dxa"/>
              <w:start w:w="120" w:type="dxa"/>
              <w:end w:w="120" w:type="dxa"/>
            </w:tcMar>
          </w:tcPr>
          <w:p>
            <w:pPr>
              <w:spacing w:after="0" w:line="276" w:lineRule="auto"/>
              <w:jc w:val="center"/>
            </w:pPr>
            <w:r/>
            <w:r>
              <w:rPr>
                <w:rFonts w:ascii="Calibri" w:hAnsi="Calibri"/>
                <w:b w:val="0"/>
                <w:color w:val="000000"/>
                <w:sz w:val="17"/>
              </w:rPr>
              <w:t>Accepted with reconciliation</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7"/>
              </w:rPr>
              <w:t>BLD-012</w:t>
            </w:r>
          </w:p>
        </w:tc>
        <w:tc>
          <w:tcPr>
            <w:tcW w:type="dxa" w:w="2800"/>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Build review completed</w:t>
            </w:r>
          </w:p>
        </w:tc>
        <w:tc>
          <w:tcPr>
            <w:tcW w:type="dxa" w:w="737"/>
            <w:vAlign w:val="center"/>
            <w:tcMar>
              <w:top w:w="80" w:type="dxa"/>
              <w:bottom w:w="80" w:type="dxa"/>
              <w:start w:w="120" w:type="dxa"/>
              <w:end w:w="120" w:type="dxa"/>
            </w:tcMar>
          </w:tcPr>
          <w:p>
            <w:pPr>
              <w:spacing w:after="0" w:line="276" w:lineRule="auto"/>
              <w:jc w:val="center"/>
            </w:pPr>
            <w:r/>
            <w:r>
              <w:rPr>
                <w:rFonts w:ascii="Calibri" w:hAnsi="Calibri"/>
                <w:b w:val="0"/>
                <w:color w:val="000000"/>
                <w:sz w:val="17"/>
              </w:rPr>
              <w:t>2026-12-20</w:t>
            </w:r>
          </w:p>
        </w:tc>
        <w:tc>
          <w:tcPr>
            <w:tcW w:type="dxa" w:w="4053"/>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No unauthorised component detected</w:t>
            </w:r>
          </w:p>
        </w:tc>
        <w:tc>
          <w:tcPr>
            <w:tcW w:type="dxa" w:w="1050"/>
            <w:vAlign w:val="center"/>
            <w:tcMar>
              <w:top w:w="80" w:type="dxa"/>
              <w:bottom w:w="80" w:type="dxa"/>
              <w:start w:w="120" w:type="dxa"/>
              <w:end w:w="120" w:type="dxa"/>
            </w:tcMar>
          </w:tcPr>
          <w:p>
            <w:pPr>
              <w:spacing w:after="0" w:line="276" w:lineRule="auto"/>
              <w:jc w:val="center"/>
            </w:pPr>
            <w:r/>
            <w:r>
              <w:rPr>
                <w:rFonts w:ascii="Calibri" w:hAnsi="Calibri"/>
                <w:b w:val="0"/>
                <w:color w:val="000000"/>
                <w:sz w:val="17"/>
              </w:rPr>
              <w:t>Approved</w:t>
            </w:r>
          </w:p>
        </w:tc>
      </w:tr>
    </w:tbl>
    <w:p>
      <w:pPr>
        <w:spacing w:after="80"/>
      </w:pPr>
    </w:p>
    <w:p>
      <w:pPr>
        <w:pStyle w:val="Heading1"/>
      </w:pPr>
      <w:r>
        <w:t>3. Build controls</w:t>
      </w:r>
    </w:p>
    <w:p>
      <w:pPr>
        <w:spacing w:after="120" w:line="300" w:lineRule="auto"/>
      </w:pPr>
      <w:r>
        <w:rPr>
          <w:rFonts w:ascii="Calibri" w:hAnsi="Calibri"/>
          <w:b w:val="0"/>
          <w:i w:val="0"/>
          <w:color w:val="000000"/>
          <w:sz w:val="22"/>
        </w:rPr>
        <w:t>Deployment used supplier-signed packages and company-approved configuration. Checksums were verified before import. Production administrative access was limited to approved accounts. No production data was introduced during build.</w:t>
      </w:r>
    </w:p>
    <w:p>
      <w:pPr>
        <w:pStyle w:val="Heading1"/>
      </w:pPr>
      <w:r>
        <w:t>4. Exceptions</w:t>
      </w:r>
    </w:p>
    <w:p>
      <w:pPr>
        <w:spacing w:after="120" w:line="300" w:lineRule="auto"/>
      </w:pPr>
      <w:r>
        <w:rPr>
          <w:rFonts w:ascii="Calibri" w:hAnsi="Calibri"/>
          <w:b w:val="0"/>
          <w:i w:val="0"/>
          <w:color w:val="000000"/>
          <w:sz w:val="22"/>
        </w:rPr>
        <w:t>No open build exception remains. The barcode driver issue detected at SAT is recorded as DEF-006 and closed before IQ completion.</w:t>
      </w:r>
    </w:p>
    <w:p>
      <w:pPr>
        <w:spacing w:after="120" w:line="300" w:lineRule="auto"/>
      </w:pPr>
      <w:r>
        <w:rPr>
          <w:rFonts w:ascii="Calibri" w:hAnsi="Calibri"/>
          <w:b w:val="0"/>
          <w:i w:val="0"/>
          <w:color w:val="000000"/>
          <w:sz w:val="22"/>
        </w:rPr>
        <w:t>Build evidence shall allow an independent reviewer to reconstruct what was installed, where, by whom, from which approved package and with which checksum. Any difference between the design specification, installation package and installed state shall be logged as an exception or change record before formal qualification continues.</w:t>
      </w:r>
    </w:p>
    <w:tbl>
      <w:tblPr>
        <w:tblStyle w:val="TableGrid"/>
        <w:tblW w:type="dxa" w:w="9360"/>
        <w:tblLayout w:type="fixed"/>
        <w:tblLook w:firstColumn="1" w:firstRow="1" w:lastColumn="0" w:lastRow="0" w:noHBand="0" w:noVBand="1" w:val="04A0"/>
        <w:tblInd w:w="120" w:type="dxa"/>
      </w:tblPr>
      <w:tblGrid>
        <w:gridCol w:w="3824"/>
        <w:gridCol w:w="5536"/>
      </w:tblGrid>
      <w:tr>
        <w:trPr>
          <w:tblHeader w:val="true"/>
        </w:trPr>
        <w:tc>
          <w:tcPr>
            <w:tcW w:type="dxa" w:w="382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Build evidence area</w:t>
            </w:r>
          </w:p>
        </w:tc>
        <w:tc>
          <w:tcPr>
            <w:tcW w:type="dxa" w:w="5536"/>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Required record</w:t>
            </w:r>
          </w:p>
        </w:tc>
      </w:tr>
      <w:tr>
        <w:tc>
          <w:tcPr>
            <w:tcW w:type="dxa" w:w="38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Software package</w:t>
            </w:r>
          </w:p>
        </w:tc>
        <w:tc>
          <w:tcPr>
            <w:tcW w:type="dxa" w:w="553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Supplier signature, checksum and approved version</w:t>
            </w:r>
          </w:p>
        </w:tc>
      </w:tr>
      <w:tr>
        <w:tc>
          <w:tcPr>
            <w:tcW w:type="dxa" w:w="38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Environment</w:t>
            </w:r>
          </w:p>
        </w:tc>
        <w:tc>
          <w:tcPr>
            <w:tcW w:type="dxa" w:w="553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Tenant/server identifier, network zone and qualification reference</w:t>
            </w:r>
          </w:p>
        </w:tc>
      </w:tr>
      <w:tr>
        <w:tc>
          <w:tcPr>
            <w:tcW w:type="dxa" w:w="38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Configuration import</w:t>
            </w:r>
          </w:p>
        </w:tc>
        <w:tc>
          <w:tcPr>
            <w:tcW w:type="dxa" w:w="553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Package ID, checksum, importer and verification result</w:t>
            </w:r>
          </w:p>
        </w:tc>
      </w:tr>
      <w:tr>
        <w:tc>
          <w:tcPr>
            <w:tcW w:type="dxa" w:w="38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Account/security setup</w:t>
            </w:r>
          </w:p>
        </w:tc>
        <w:tc>
          <w:tcPr>
            <w:tcW w:type="dxa" w:w="553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admin/service accounts and hardening evidence</w:t>
            </w:r>
          </w:p>
        </w:tc>
      </w:tr>
      <w:tr>
        <w:tc>
          <w:tcPr>
            <w:tcW w:type="dxa" w:w="38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Post-build readiness</w:t>
            </w:r>
          </w:p>
        </w:tc>
        <w:tc>
          <w:tcPr>
            <w:tcW w:type="dxa" w:w="553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Smoke test, monitoring status and backup inclusion</w:t>
            </w:r>
          </w:p>
        </w:tc>
      </w:tr>
    </w:tbl>
    <w:p>
      <w:pPr>
        <w:spacing w:after="80"/>
      </w:pPr>
    </w:p>
    <w:p>
      <w:pPr>
        <w:pStyle w:val="Heading1"/>
      </w:pPr>
      <w:r>
        <w:t>5. Related documents</w:t>
      </w:r>
    </w:p>
    <w:tbl>
      <w:tblPr>
        <w:tblStyle w:val="TableGrid"/>
        <w:tblW w:type="dxa" w:w="9360"/>
        <w:tblLayout w:type="fixed"/>
        <w:tblLook w:firstColumn="1" w:firstRow="1" w:lastColumn="0" w:lastRow="0" w:noHBand="0" w:noVBand="1" w:val="04A0"/>
        <w:tblInd w:w="120" w:type="dxa"/>
      </w:tblPr>
      <w:tblGrid>
        <w:gridCol w:w="2224"/>
        <w:gridCol w:w="2038"/>
        <w:gridCol w:w="5098"/>
      </w:tblGrid>
      <w:tr>
        <w:trPr>
          <w:tblHeader w:val="true"/>
        </w:trPr>
        <w:tc>
          <w:tcPr>
            <w:tcW w:type="dxa" w:w="222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Relationship</w:t>
            </w:r>
          </w:p>
        </w:tc>
        <w:tc>
          <w:tcPr>
            <w:tcW w:type="dxa" w:w="203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 ID</w:t>
            </w:r>
          </w:p>
        </w:tc>
        <w:tc>
          <w:tcPr>
            <w:tcW w:type="dxa" w:w="509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QCL-2026-DS-001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 Design Specification](024_System_Design_Specification.md)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QCL-2026-CS-001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[Configuration Specification](025_Configuration_Specification.md)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QCL-2026-IAD-001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[Infrastructure and Architecture Design](026_Infrastructure_and_Architecture_Design.md)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QCL-2026-ICS-001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[Interface Control Specification](027_Interface_Control_Specification.md)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QCL-2026-MDS-001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[Master Data Specification](030_Master_Data_Specification.md)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QCL-2026-RAC-001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[Role and Access Control Matrix](031_Role_and_Access_Control_Matrix.md)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QCL-2026-BRS-001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[Backup and Restore Specification](034_Backup_and_Restore_Specification.md)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QCL-2026-SDP-001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[Software Development and Source Control Plan](042_Software_Development_and_Source_Control_Plan.md)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QCL-2026-CIR-001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[Configuration Item and Version Register](041_Configuration_Item_and_Version_Register.md)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QCL-2026-SAT-001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[Site Acceptance Test Protocol and Report](045_Site_Acceptance_Test_Protocol_and_Report.md)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QCL-2026-IQ-001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[Installation Qualification Protocol and Report](048_Installation_Qualification_Protocol_and_Report.md)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QCL-2026-PBL-001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[Production Baseline and Approved Configuration Record](077_Production_Baseline_and_Approved_Configuration_Record.md)</w:t>
            </w:r>
          </w:p>
        </w:tc>
      </w:tr>
    </w:tbl>
    <w:p>
      <w:pPr>
        <w:spacing w:after="80"/>
      </w:pPr>
    </w:p>
    <w:p>
      <w:pPr>
        <w:pStyle w:val="Heading1"/>
      </w:pPr>
      <w:r>
        <w:t>Approval record</w:t>
      </w:r>
    </w:p>
    <w:tbl>
      <w:tblPr>
        <w:tblStyle w:val="TableGrid"/>
        <w:tblW w:type="dxa" w:w="9360"/>
        <w:tblLayout w:type="fixed"/>
        <w:tblLook w:firstColumn="1" w:firstRow="1" w:lastColumn="0" w:lastRow="0" w:noHBand="0" w:noVBand="1" w:val="04A0"/>
        <w:tblInd w:w="120" w:type="dxa"/>
      </w:tblPr>
      <w:tblGrid>
        <w:gridCol w:w="3333"/>
        <w:gridCol w:w="2692"/>
        <w:gridCol w:w="3335"/>
      </w:tblGrid>
      <w:tr>
        <w:trPr>
          <w:tblHeader w:val="true"/>
        </w:trPr>
        <w:tc>
          <w:tcPr>
            <w:tcW w:type="dxa" w:w="3333"/>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Approval step</w:t>
            </w:r>
          </w:p>
        </w:tc>
        <w:tc>
          <w:tcPr>
            <w:tcW w:type="dxa" w:w="2692"/>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Role</w:t>
            </w:r>
          </w:p>
        </w:tc>
        <w:tc>
          <w:tcPr>
            <w:tcW w:type="dxa" w:w="3335"/>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Case outcome</w:t>
            </w:r>
          </w:p>
        </w:tc>
      </w:tr>
      <w:tr>
        <w:tc>
          <w:tcPr>
            <w:tcW w:type="dxa" w:w="33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Prepared by</w:t>
            </w:r>
          </w:p>
        </w:tc>
        <w:tc>
          <w:tcPr>
            <w:tcW w:type="dxa" w:w="269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IT System Owner</w:t>
            </w:r>
          </w:p>
        </w:tc>
        <w:tc>
          <w:tcPr>
            <w:tcW w:type="dxa" w:w="333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3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Reviewed by</w:t>
            </w:r>
          </w:p>
        </w:tc>
        <w:tc>
          <w:tcPr>
            <w:tcW w:type="dxa" w:w="269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Vendor Technical Lead</w:t>
            </w:r>
          </w:p>
        </w:tc>
        <w:tc>
          <w:tcPr>
            <w:tcW w:type="dxa" w:w="333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3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by</w:t>
            </w:r>
          </w:p>
        </w:tc>
        <w:tc>
          <w:tcPr>
            <w:tcW w:type="dxa" w:w="269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QA CSV Lead</w:t>
            </w:r>
          </w:p>
        </w:tc>
        <w:tc>
          <w:tcPr>
            <w:tcW w:type="dxa" w:w="333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Revision history</w:t>
      </w:r>
    </w:p>
    <w:tbl>
      <w:tblPr>
        <w:tblStyle w:val="TableGrid"/>
        <w:tblW w:type="dxa" w:w="9360"/>
        <w:tblLayout w:type="fixed"/>
        <w:tblLook w:firstColumn="1" w:firstRow="1" w:lastColumn="0" w:lastRow="0" w:noHBand="0" w:noVBand="1" w:val="04A0"/>
        <w:tblInd w:w="120" w:type="dxa"/>
      </w:tblPr>
      <w:tblGrid>
        <w:gridCol w:w="2047"/>
        <w:gridCol w:w="1462"/>
        <w:gridCol w:w="5851"/>
      </w:tblGrid>
      <w:tr>
        <w:trPr>
          <w:tblHeader w:val="true"/>
        </w:trPr>
        <w:tc>
          <w:tcPr>
            <w:tcW w:type="dxa" w:w="2047"/>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Version</w:t>
            </w:r>
          </w:p>
        </w:tc>
        <w:tc>
          <w:tcPr>
            <w:tcW w:type="dxa" w:w="1462"/>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Date</w:t>
            </w:r>
          </w:p>
        </w:tc>
        <w:tc>
          <w:tcPr>
            <w:tcW w:type="dxa" w:w="5851"/>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Change</w:t>
            </w:r>
          </w:p>
        </w:tc>
      </w:tr>
      <w:tr>
        <w:tc>
          <w:tcPr>
            <w:tcW w:type="dxa" w:w="2047"/>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1.0</w:t>
            </w:r>
          </w:p>
        </w:tc>
        <w:tc>
          <w:tcPr>
            <w:tcW w:type="dxa" w:w="1462"/>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2026-12-20</w:t>
            </w:r>
          </w:p>
        </w:tc>
        <w:tc>
          <w:tcPr>
            <w:tcW w:type="dxa" w:w="585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Initial approved fictional case version.</w:t>
            </w:r>
          </w:p>
        </w:tc>
      </w:tr>
    </w:tbl>
    <w:p>
      <w:pPr>
        <w:spacing w:after="8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7"/>
      </w:rPr>
      <w:t xml:space="preserve">QCL-2026-BLD-001 | Version 1.0 | Approved in fictional case | Page </w:t>
    </w:r>
    <w:r>
      <w:fldChar w:fldCharType="begin"/>
    </w:r>
    <w:r>
      <w:instrText xml:space="preserve"> PAGE </w:instrText>
    </w:r>
    <w:r>
      <w:fldChar w:fldCharType="separate"/>
    </w:r>
    <w:r>
      <w:rPr>
        <w:rFonts w:ascii="Calibri" w:hAnsi="Calibri"/>
        <w:color w:val="595959"/>
        <w:sz w:val="18"/>
      </w:rPr>
      <w:t>1</w:t>
    </w:r>
    <w:r>
      <w:fldChar w:fldCharType="end"/>
    </w:r>
    <w:r>
      <w:rPr>
        <w:rFonts w:ascii="Calibri" w:hAnsi="Calibri"/>
        <w:color w:val="595959"/>
        <w:sz w:val="17"/>
      </w:rPr>
      <w:t xml:space="preserve"> of </w:t>
    </w:r>
    <w:r>
      <w:fldChar w:fldCharType="begin"/>
    </w:r>
    <w:r>
      <w:instrText xml:space="preserve"> NUMPAGES </w:instrText>
    </w:r>
    <w:r>
      <w:fldChar w:fldCharType="separate"/>
    </w:r>
    <w:r>
      <w:rPr>
        <w:rFonts w:ascii="Calibri" w:hAnsi="Calibri"/>
        <w:color w:val="595959"/>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Calibri" w:hAnsi="Calibri"/>
        <w:b/>
        <w:color w:val="595959"/>
        <w:sz w:val="17"/>
      </w:rPr>
      <w:t>QCL-2026 | QCLabOne 2.0 LIMS/LES</w:t>
    </w:r>
    <w:r>
      <w:tab/>
    </w:r>
    <w:r>
      <w:rPr>
        <w:rFonts w:ascii="Calibri" w:hAnsi="Calibri"/>
        <w:color w:val="595959"/>
        <w:sz w:val="17"/>
      </w:rPr>
      <w:t>QCL-2026-BLD-001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Installation, Build and Configuration Record</dc:title>
  <dc:subject>GMP CSV controlled-document conversion</dc:subject>
  <dc:creator>CSV108 Markdown DOCX Converter</dc:creator>
  <cp:keywords>CSV, GMP, validation, DOCX, controlled document</cp:keywords>
  <dc:description>Converted from CSV108 Markdown source. Requires site-specific QA review before operational use.</dc:description>
  <cp:lastModifiedBy>CSV108 Markdown DOCX Converter</cp:lastModifiedBy>
  <cp:revision>1</cp:revision>
  <dcterms:created xsi:type="dcterms:W3CDTF">2026-06-19T09:00:00Z</dcterms:created>
  <dcterms:modified xsi:type="dcterms:W3CDTF">2026-06-19T09:00:00Z</dcterms:modified>
  <cp:category>GMP CSV</cp:category>
</cp:coreProperties>
</file>