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Software Development and Source Control Plan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QCL-2026-SDP-001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Development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QCL-2026-SDP-001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Development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plan applies to the custom SAP, eQMS, CDS/SDMS, instrument and archive integrations plus site-specific report utility code. It does not govern the supplier’s standard product source code, which is covered by supplier qualification.</w:t>
      </w:r>
    </w:p>
    <w:p>
      <w:pPr>
        <w:pStyle w:val="Heading1"/>
      </w:pPr>
      <w:r>
        <w:t>2. Development lifecycle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20"/>
        <w:gridCol w:w="4400"/>
        <w:gridCol w:w="3440"/>
      </w:tblGrid>
      <w:tr>
        <w:trPr>
          <w:tblHeader w:val="true"/>
        </w:trPr>
        <w:tc>
          <w:tcPr>
            <w:tcW w:type="dxa" w:w="15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Stage</w:t>
            </w:r>
          </w:p>
        </w:tc>
        <w:tc>
          <w:tcPr>
            <w:tcW w:type="dxa" w:w="4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Required output</w:t>
            </w:r>
          </w:p>
        </w:tc>
        <w:tc>
          <w:tcPr>
            <w:tcW w:type="dxa" w:w="3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</w:t>
            </w:r>
          </w:p>
        </w:tc>
      </w:tr>
      <w:tr>
        <w:tc>
          <w:tcPr>
            <w:tcW w:type="dxa" w:w="1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Plan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scope, architecture, standards and repository</w:t>
            </w:r>
          </w:p>
        </w:tc>
        <w:tc>
          <w:tcPr>
            <w:tcW w:type="dxa" w:w="3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coding before approved work item</w:t>
            </w:r>
          </w:p>
        </w:tc>
      </w:tr>
      <w:tr>
        <w:tc>
          <w:tcPr>
            <w:tcW w:type="dxa" w:w="1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Requirements/design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specification, mapping and error handling</w:t>
            </w:r>
          </w:p>
        </w:tc>
        <w:tc>
          <w:tcPr>
            <w:tcW w:type="dxa" w:w="3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Peer review and traceability</w:t>
            </w:r>
          </w:p>
        </w:tc>
      </w:tr>
      <w:tr>
        <w:tc>
          <w:tcPr>
            <w:tcW w:type="dxa" w:w="1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Implementation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Source code and automated tests</w:t>
            </w:r>
          </w:p>
        </w:tc>
        <w:tc>
          <w:tcPr>
            <w:tcW w:type="dxa" w:w="3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Protected branch and named developer</w:t>
            </w:r>
          </w:p>
        </w:tc>
      </w:tr>
      <w:tr>
        <w:tc>
          <w:tcPr>
            <w:tcW w:type="dxa" w:w="1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Code review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Independent review checklist</w:t>
            </w:r>
          </w:p>
        </w:tc>
        <w:tc>
          <w:tcPr>
            <w:tcW w:type="dxa" w:w="3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self-approval of merge</w:t>
            </w:r>
          </w:p>
        </w:tc>
      </w:tr>
      <w:tr>
        <w:tc>
          <w:tcPr>
            <w:tcW w:type="dxa" w:w="1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Unit test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Normal, boundary, negative and failure cases</w:t>
            </w:r>
          </w:p>
        </w:tc>
        <w:tc>
          <w:tcPr>
            <w:tcW w:type="dxa" w:w="3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Automated result retained</w:t>
            </w:r>
          </w:p>
        </w:tc>
      </w:tr>
      <w:tr>
        <w:tc>
          <w:tcPr>
            <w:tcW w:type="dxa" w:w="1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Build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Reproducible signed artifact and software bill of materials</w:t>
            </w:r>
          </w:p>
        </w:tc>
        <w:tc>
          <w:tcPr>
            <w:tcW w:type="dxa" w:w="3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CI/CD service account</w:t>
            </w:r>
          </w:p>
        </w:tc>
      </w:tr>
      <w:tr>
        <w:tc>
          <w:tcPr>
            <w:tcW w:type="dxa" w:w="1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Promotion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DEV → TEST → VAL → PROD</w:t>
            </w:r>
          </w:p>
        </w:tc>
        <w:tc>
          <w:tcPr>
            <w:tcW w:type="dxa" w:w="3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Separate approver and checksum verification</w:t>
            </w:r>
          </w:p>
        </w:tc>
      </w:tr>
      <w:tr>
        <w:tc>
          <w:tcPr>
            <w:tcW w:type="dxa" w:w="1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Maintenance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Versioned change, regression and rollback</w:t>
            </w:r>
          </w:p>
        </w:tc>
        <w:tc>
          <w:tcPr>
            <w:tcW w:type="dxa" w:w="3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Change control</w:t>
            </w:r>
          </w:p>
        </w:tc>
      </w:tr>
    </w:tbl>
    <w:p>
      <w:pPr>
        <w:spacing w:after="80"/>
      </w:pPr>
    </w:p>
    <w:p>
      <w:pPr>
        <w:pStyle w:val="Heading1"/>
      </w:pPr>
      <w:r>
        <w:t>3. Repository and branching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Repository: `git/qclabone-integrations`. Protected `main` branch; feature branches reference approved work item. Pull request requires one independent technical reviewer and successful automated tests. Tags are immutable and signed.</w:t>
      </w:r>
    </w:p>
    <w:p>
      <w:pPr>
        <w:pStyle w:val="Heading1"/>
      </w:pPr>
      <w:r>
        <w:t>4. Coding and security standards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Input validation, idempotency, explicit error handling, least-privilege credentials, secret masking, structured logging, dependency scanning, no hard-coded credentials and UTC timestamps are mandatory. Third-party dependencies require approved licence and vulnerability review.</w:t>
      </w:r>
    </w:p>
    <w:p>
      <w:pPr>
        <w:pStyle w:val="Heading1"/>
      </w:pPr>
      <w:r>
        <w:t>5. Release versions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SAP 2.1.0; eQMS 1.4.1; CDS 2.3.0; instrument adapters 3.6.1; archive utility 1.0.0.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Custom code cannot be promoted to validation or production unless the linked requirement/design item, code review, unit evidence, dependency/security scan and release tag are complete. Emergency fixes follow the same retrospective documentation and regression requirements as configuration emergency changes.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24"/>
        <w:gridCol w:w="5536"/>
      </w:tblGrid>
      <w:tr>
        <w:trPr>
          <w:tblHeader w:val="true"/>
        </w:trPr>
        <w:tc>
          <w:tcPr>
            <w:tcW w:type="dxa" w:w="38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Development control</w:t>
            </w:r>
          </w:p>
        </w:tc>
        <w:tc>
          <w:tcPr>
            <w:tcW w:type="dxa" w:w="55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Minimum evidence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Work item linkage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requirement, defect or change record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Code review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Independent reviewer, comments resolved and approval retained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Automated checks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Unit tests, static analysis, dependency and secrets scan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 package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Signed/immutable tag, build artifact checksum and deployment notes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Rollback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Prior version and rollback decision criteria documented</w:t>
            </w:r>
          </w:p>
        </w:tc>
      </w:tr>
    </w:tbl>
    <w:p>
      <w:pPr>
        <w:spacing w:after="80"/>
      </w:pP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Mapping, Cleansing and Transformation Specification](037_Data_Mapping_Cleansing_and_Transformation_Specification.md)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QCL-2026-CRU-001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[Code Review and Unit Test Report](043_Code_Review_and_Unit_Test_Report.md)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[Factory Acceptance Test Protocol and Report](044_Factory_Acceptance_Test_Protocol_and_Report.md)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Acceptance Test Protocol and Report](045_Site_Acceptance_Test_Protocol_and_Report.md)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[Defect Log and Resolution Report](060_Defect_Log_and_Resolution_Report.md)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42"/>
        <w:gridCol w:w="3276"/>
        <w:gridCol w:w="3042"/>
      </w:tblGrid>
      <w:tr>
        <w:trPr>
          <w:tblHeader w:val="true"/>
        </w:trPr>
        <w:tc>
          <w:tcPr>
            <w:tcW w:type="dxa" w:w="304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2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04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Integration Development Lead</w:t>
            </w:r>
          </w:p>
        </w:tc>
        <w:tc>
          <w:tcPr>
            <w:tcW w:type="dxa" w:w="3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System Owner</w:t>
            </w:r>
          </w:p>
        </w:tc>
        <w:tc>
          <w:tcPr>
            <w:tcW w:type="dxa" w:w="3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QCL-2026-SDP-001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QCL-2026-SDP-001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and Source Control Plan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