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Code Review and Unit Test Report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QCL-2026-CRU-001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Development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2026-12-20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QCL-2026-CRU-001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Development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2026-12-20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Review scope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Code review covered the signed release tags for the five custom integration components and archive utility.</w:t>
      </w:r>
    </w:p>
    <w:p>
      <w:pPr>
        <w:pStyle w:val="Heading1"/>
      </w:pPr>
      <w:r>
        <w:t>2. Code-review summary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52"/>
        <w:gridCol w:w="4515"/>
        <w:gridCol w:w="2793"/>
      </w:tblGrid>
      <w:tr>
        <w:trPr>
          <w:tblHeader w:val="true"/>
        </w:trPr>
        <w:tc>
          <w:tcPr>
            <w:tcW w:type="dxa" w:w="205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Component</w:t>
            </w:r>
          </w:p>
        </w:tc>
        <w:tc>
          <w:tcPr>
            <w:tcW w:type="dxa" w:w="4515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Files/changes reviewed</w:t>
            </w:r>
          </w:p>
        </w:tc>
        <w:tc>
          <w:tcPr>
            <w:tcW w:type="dxa" w:w="2793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Review conclusion</w:t>
            </w:r>
          </w:p>
        </w:tc>
      </w:tr>
      <w:tr>
        <w:tc>
          <w:tcPr>
            <w:tcW w:type="dxa" w:w="20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SAP connector 2.1.0</w:t>
            </w:r>
          </w:p>
        </w:tc>
        <w:tc>
          <w:tcPr>
            <w:tcW w:type="dxa" w:w="45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Message validation, idempotency, mapping, acknowledgement</w:t>
            </w:r>
          </w:p>
        </w:tc>
        <w:tc>
          <w:tcPr>
            <w:tcW w:type="dxa" w:w="27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Accepted</w:t>
            </w:r>
          </w:p>
        </w:tc>
      </w:tr>
      <w:tr>
        <w:tc>
          <w:tcPr>
            <w:tcW w:type="dxa" w:w="20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eQMS connector 1.4.1</w:t>
            </w:r>
          </w:p>
        </w:tc>
        <w:tc>
          <w:tcPr>
            <w:tcW w:type="dxa" w:w="45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creation, retry, idempotency and status polling</w:t>
            </w:r>
          </w:p>
        </w:tc>
        <w:tc>
          <w:tcPr>
            <w:tcW w:type="dxa" w:w="27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Accepted after DEF-003 correction</w:t>
            </w:r>
          </w:p>
        </w:tc>
      </w:tr>
      <w:tr>
        <w:tc>
          <w:tcPr>
            <w:tcW w:type="dxa" w:w="20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CDS connector 2.3.0</w:t>
            </w:r>
          </w:p>
        </w:tc>
        <w:tc>
          <w:tcPr>
            <w:tcW w:type="dxa" w:w="45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status, value/unit/context mapping and source link</w:t>
            </w:r>
          </w:p>
        </w:tc>
        <w:tc>
          <w:tcPr>
            <w:tcW w:type="dxa" w:w="27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Accepted</w:t>
            </w:r>
          </w:p>
        </w:tc>
      </w:tr>
      <w:tr>
        <w:tc>
          <w:tcPr>
            <w:tcW w:type="dxa" w:w="20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Instrument adapters 3.6.1</w:t>
            </w:r>
          </w:p>
        </w:tc>
        <w:tc>
          <w:tcPr>
            <w:tcW w:type="dxa" w:w="45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Device parsers, unit/range validation and queue</w:t>
            </w:r>
          </w:p>
        </w:tc>
        <w:tc>
          <w:tcPr>
            <w:tcW w:type="dxa" w:w="27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Accepted</w:t>
            </w:r>
          </w:p>
        </w:tc>
      </w:tr>
      <w:tr>
        <w:tc>
          <w:tcPr>
            <w:tcW w:type="dxa" w:w="20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Archive utility 1.0.0</w:t>
            </w:r>
          </w:p>
        </w:tc>
        <w:tc>
          <w:tcPr>
            <w:tcW w:type="dxa" w:w="45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Manifest, checksum and filename normalization</w:t>
            </w:r>
          </w:p>
        </w:tc>
        <w:tc>
          <w:tcPr>
            <w:tcW w:type="dxa" w:w="27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Accepted</w:t>
            </w:r>
          </w:p>
        </w:tc>
      </w:tr>
    </w:tbl>
    <w:p>
      <w:pPr>
        <w:spacing w:after="80"/>
      </w:pPr>
    </w:p>
    <w:p>
      <w:pPr>
        <w:pStyle w:val="Heading1"/>
      </w:pPr>
      <w:r>
        <w:t>3. Unit-test results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110"/>
        <w:gridCol w:w="2776"/>
        <w:gridCol w:w="3966"/>
        <w:gridCol w:w="1508"/>
      </w:tblGrid>
      <w:tr>
        <w:trPr>
          <w:tblHeader w:val="true"/>
        </w:trPr>
        <w:tc>
          <w:tcPr>
            <w:tcW w:type="dxa" w:w="111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Test ID</w:t>
            </w:r>
          </w:p>
        </w:tc>
        <w:tc>
          <w:tcPr>
            <w:tcW w:type="dxa" w:w="277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Test</w:t>
            </w:r>
          </w:p>
        </w:tc>
        <w:tc>
          <w:tcPr>
            <w:tcW w:type="dxa" w:w="396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Expected result</w:t>
            </w:r>
          </w:p>
        </w:tc>
        <w:tc>
          <w:tcPr>
            <w:tcW w:type="dxa" w:w="150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Outcome</w:t>
            </w:r>
          </w:p>
        </w:tc>
      </w:tr>
      <w:tr>
        <w:tc>
          <w:tcPr>
            <w:tcW w:type="dxa" w:w="11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UT-SAP-001</w:t>
            </w:r>
          </w:p>
        </w:tc>
        <w:tc>
          <w:tcPr>
            <w:tcW w:type="dxa" w:w="27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Valid sample request mapping</w:t>
            </w:r>
          </w:p>
        </w:tc>
        <w:tc>
          <w:tcPr>
            <w:tcW w:type="dxa" w:w="39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Expected target object created</w:t>
            </w:r>
          </w:p>
        </w:tc>
        <w:tc>
          <w:tcPr>
            <w:tcW w:type="dxa" w:w="15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1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UT-SAP-002</w:t>
            </w:r>
          </w:p>
        </w:tc>
        <w:tc>
          <w:tcPr>
            <w:tcW w:type="dxa" w:w="27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Duplicate idempotency key</w:t>
            </w:r>
          </w:p>
        </w:tc>
        <w:tc>
          <w:tcPr>
            <w:tcW w:type="dxa" w:w="39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 duplicate object; duplicate status returned</w:t>
            </w:r>
          </w:p>
        </w:tc>
        <w:tc>
          <w:tcPr>
            <w:tcW w:type="dxa" w:w="15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1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UT-SAP-003</w:t>
            </w:r>
          </w:p>
        </w:tc>
        <w:tc>
          <w:tcPr>
            <w:tcW w:type="dxa" w:w="27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Invalid mandatory field</w:t>
            </w:r>
          </w:p>
        </w:tc>
        <w:tc>
          <w:tcPr>
            <w:tcW w:type="dxa" w:w="39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Rejected with field error</w:t>
            </w:r>
          </w:p>
        </w:tc>
        <w:tc>
          <w:tcPr>
            <w:tcW w:type="dxa" w:w="15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1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UT-EQM-001</w:t>
            </w:r>
          </w:p>
        </w:tc>
        <w:tc>
          <w:tcPr>
            <w:tcW w:type="dxa" w:w="27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Create OOS case</w:t>
            </w:r>
          </w:p>
        </w:tc>
        <w:tc>
          <w:tcPr>
            <w:tcW w:type="dxa" w:w="39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One request and stored returned case ID</w:t>
            </w:r>
          </w:p>
        </w:tc>
        <w:tc>
          <w:tcPr>
            <w:tcW w:type="dxa" w:w="15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1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UT-EQM-002</w:t>
            </w:r>
          </w:p>
        </w:tc>
        <w:tc>
          <w:tcPr>
            <w:tcW w:type="dxa" w:w="27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Retry same request</w:t>
            </w:r>
          </w:p>
        </w:tc>
        <w:tc>
          <w:tcPr>
            <w:tcW w:type="dxa" w:w="39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 duplicate case</w:t>
            </w:r>
          </w:p>
        </w:tc>
        <w:tc>
          <w:tcPr>
            <w:tcW w:type="dxa" w:w="15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 after code fix</w:t>
            </w:r>
          </w:p>
        </w:tc>
      </w:tr>
      <w:tr>
        <w:tc>
          <w:tcPr>
            <w:tcW w:type="dxa" w:w="11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UT-CDS-001</w:t>
            </w:r>
          </w:p>
        </w:tc>
        <w:tc>
          <w:tcPr>
            <w:tcW w:type="dxa" w:w="27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result mapping</w:t>
            </w:r>
          </w:p>
        </w:tc>
        <w:tc>
          <w:tcPr>
            <w:tcW w:type="dxa" w:w="39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Value/unit/context/link preserved</w:t>
            </w:r>
          </w:p>
        </w:tc>
        <w:tc>
          <w:tcPr>
            <w:tcW w:type="dxa" w:w="15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1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UT-CDS-002</w:t>
            </w:r>
          </w:p>
        </w:tc>
        <w:tc>
          <w:tcPr>
            <w:tcW w:type="dxa" w:w="27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Unapproved CDS status</w:t>
            </w:r>
          </w:p>
        </w:tc>
        <w:tc>
          <w:tcPr>
            <w:tcW w:type="dxa" w:w="39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Rejected</w:t>
            </w:r>
          </w:p>
        </w:tc>
        <w:tc>
          <w:tcPr>
            <w:tcW w:type="dxa" w:w="15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1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UT-INS-001</w:t>
            </w:r>
          </w:p>
        </w:tc>
        <w:tc>
          <w:tcPr>
            <w:tcW w:type="dxa" w:w="27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Device parser and unit mapping</w:t>
            </w:r>
          </w:p>
        </w:tc>
        <w:tc>
          <w:tcPr>
            <w:tcW w:type="dxa" w:w="39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Correct normalized message</w:t>
            </w:r>
          </w:p>
        </w:tc>
        <w:tc>
          <w:tcPr>
            <w:tcW w:type="dxa" w:w="15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1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UT-INS-002</w:t>
            </w:r>
          </w:p>
        </w:tc>
        <w:tc>
          <w:tcPr>
            <w:tcW w:type="dxa" w:w="27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Out-of-range/unknown device</w:t>
            </w:r>
          </w:p>
        </w:tc>
        <w:tc>
          <w:tcPr>
            <w:tcW w:type="dxa" w:w="39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Quarantined</w:t>
            </w:r>
          </w:p>
        </w:tc>
        <w:tc>
          <w:tcPr>
            <w:tcW w:type="dxa" w:w="15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1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UT-ARC-001</w:t>
            </w:r>
          </w:p>
        </w:tc>
        <w:tc>
          <w:tcPr>
            <w:tcW w:type="dxa" w:w="27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Archive manifest generation</w:t>
            </w:r>
          </w:p>
        </w:tc>
        <w:tc>
          <w:tcPr>
            <w:tcW w:type="dxa" w:w="39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All files and hashes listed</w:t>
            </w:r>
          </w:p>
        </w:tc>
        <w:tc>
          <w:tcPr>
            <w:tcW w:type="dxa" w:w="15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1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UT-ARC-002</w:t>
            </w:r>
          </w:p>
        </w:tc>
        <w:tc>
          <w:tcPr>
            <w:tcW w:type="dxa" w:w="27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Special-character filename</w:t>
            </w:r>
          </w:p>
        </w:tc>
        <w:tc>
          <w:tcPr>
            <w:tcW w:type="dxa" w:w="39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Normalized target name; original metadata retained</w:t>
            </w:r>
          </w:p>
        </w:tc>
        <w:tc>
          <w:tcPr>
            <w:tcW w:type="dxa" w:w="15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1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UT-COM-001</w:t>
            </w:r>
          </w:p>
        </w:tc>
        <w:tc>
          <w:tcPr>
            <w:tcW w:type="dxa" w:w="27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Logging masks secrets</w:t>
            </w:r>
          </w:p>
        </w:tc>
        <w:tc>
          <w:tcPr>
            <w:tcW w:type="dxa" w:w="39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 password/token in log</w:t>
            </w:r>
          </w:p>
        </w:tc>
        <w:tc>
          <w:tcPr>
            <w:tcW w:type="dxa" w:w="15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1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UT-COM-002</w:t>
            </w:r>
          </w:p>
        </w:tc>
        <w:tc>
          <w:tcPr>
            <w:tcW w:type="dxa" w:w="27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Retry backoff and dead-letter queue</w:t>
            </w:r>
          </w:p>
        </w:tc>
        <w:tc>
          <w:tcPr>
            <w:tcW w:type="dxa" w:w="39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1/5/15 min then queue</w:t>
            </w:r>
          </w:p>
        </w:tc>
        <w:tc>
          <w:tcPr>
            <w:tcW w:type="dxa" w:w="15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1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UT-COM-003</w:t>
            </w:r>
          </w:p>
        </w:tc>
        <w:tc>
          <w:tcPr>
            <w:tcW w:type="dxa" w:w="27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Timestamp/time-zone conversion</w:t>
            </w:r>
          </w:p>
        </w:tc>
        <w:tc>
          <w:tcPr>
            <w:tcW w:type="dxa" w:w="39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UTC retained; CST displayed</w:t>
            </w:r>
          </w:p>
        </w:tc>
        <w:tc>
          <w:tcPr>
            <w:tcW w:type="dxa" w:w="15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</w:tbl>
    <w:p>
      <w:pPr>
        <w:spacing w:after="80"/>
      </w:pPr>
    </w:p>
    <w:p>
      <w:pPr>
        <w:pStyle w:val="Heading1"/>
      </w:pPr>
      <w:r>
        <w:t>4. Static and dependency checks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No critical/high static-analysis issue or known critical vulnerability remained in the approved build. Secrets scanning passed. Third-party component list and licences were accepted by IT Security.</w:t>
      </w:r>
    </w:p>
    <w:p>
      <w:pPr>
        <w:pStyle w:val="Heading1"/>
      </w:pPr>
      <w:r>
        <w:t>5. Conclusion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Custom code is acceptable for FAT/SAT and formal interface verification. All identified issues are traceable in the defect log.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Code review acceptance confirms technical readiness only; it does not replace FAT, SAT, interface testing or company validation. Any unit-test gap affecting a high-risk mapping, calculation, retry/idempotency rule or security control shall be justified by an alternate test or corrected before release to formal validation.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674"/>
        <w:gridCol w:w="6686"/>
      </w:tblGrid>
      <w:tr>
        <w:trPr>
          <w:tblHeader w:val="true"/>
        </w:trPr>
        <w:tc>
          <w:tcPr>
            <w:tcW w:type="dxa" w:w="26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Review area</w:t>
            </w:r>
          </w:p>
        </w:tc>
        <w:tc>
          <w:tcPr>
            <w:tcW w:type="dxa" w:w="66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Evidence retained</w:t>
            </w:r>
          </w:p>
        </w:tc>
      </w:tr>
      <w:tr>
        <w:tc>
          <w:tcPr>
            <w:tcW w:type="dxa" w:w="26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Traceability</w:t>
            </w:r>
          </w:p>
        </w:tc>
        <w:tc>
          <w:tcPr>
            <w:tcW w:type="dxa" w:w="66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Code change links to approved requirement/design/change</w:t>
            </w:r>
          </w:p>
        </w:tc>
      </w:tr>
      <w:tr>
        <w:tc>
          <w:tcPr>
            <w:tcW w:type="dxa" w:w="26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Unit coverage</w:t>
            </w:r>
          </w:p>
        </w:tc>
        <w:tc>
          <w:tcPr>
            <w:tcW w:type="dxa" w:w="66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Positive, negative, boundary and error-path tests for critical logic</w:t>
            </w:r>
          </w:p>
        </w:tc>
      </w:tr>
      <w:tr>
        <w:tc>
          <w:tcPr>
            <w:tcW w:type="dxa" w:w="26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Security</w:t>
            </w:r>
          </w:p>
        </w:tc>
        <w:tc>
          <w:tcPr>
            <w:tcW w:type="dxa" w:w="66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Secrets, dependency and input-validation checks completed</w:t>
            </w:r>
          </w:p>
        </w:tc>
      </w:tr>
      <w:tr>
        <w:tc>
          <w:tcPr>
            <w:tcW w:type="dxa" w:w="26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Defect linkage</w:t>
            </w:r>
          </w:p>
        </w:tc>
        <w:tc>
          <w:tcPr>
            <w:tcW w:type="dxa" w:w="66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 findings and unit failures linked to defect log</w:t>
            </w:r>
          </w:p>
        </w:tc>
      </w:tr>
      <w:tr>
        <w:tc>
          <w:tcPr>
            <w:tcW w:type="dxa" w:w="26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Release readiness</w:t>
            </w:r>
          </w:p>
        </w:tc>
        <w:tc>
          <w:tcPr>
            <w:tcW w:type="dxa" w:w="66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Build/tag/checksum match the package used in FAT/SAT</w:t>
            </w:r>
          </w:p>
        </w:tc>
      </w:tr>
    </w:tbl>
    <w:p>
      <w:pPr>
        <w:spacing w:after="80"/>
      </w:pPr>
    </w:p>
    <w:p>
      <w:pPr>
        <w:pStyle w:val="Heading1"/>
      </w:pPr>
      <w:r>
        <w:t>6.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QCL-2026-ICS-001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[Interface Control Specification](027_Interface_Control_Specification.md)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QCL-2026-DMS-001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Mapping, Cleansing and Transformation Specification](037_Data_Mapping_Cleansing_and_Transformation_Specification.md)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QCL-2026-SDP-001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[Software Development and Source Control Plan](042_Software_Development_and_Source_Control_Plan.md)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QCL-2026-FAT-001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[Factory Acceptance Test Protocol and Report](044_Factory_Acceptance_Test_Protocol_and_Report.md)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QCL-2026-SAT-001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[Site Acceptance Test Protocol and Report](045_Site_Acceptance_Test_Protocol_and_Report.md)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QCL-2026-IFT-001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[Interface Test Protocol and Report](051_Interface_Test_Protocol_and_Report.md)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QCL-2026-DEF-001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[Defect Log and Resolution Report](060_Defect_Log_and_Resolution_Report.md)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QCL-2026-DEV-001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[Validation Deviation Log and Investigation Report](061_Validation_Deviation_Log_and_Investigation_Report.md)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042"/>
        <w:gridCol w:w="3276"/>
        <w:gridCol w:w="3042"/>
      </w:tblGrid>
      <w:tr>
        <w:trPr>
          <w:tblHeader w:val="true"/>
        </w:trPr>
        <w:tc>
          <w:tcPr>
            <w:tcW w:type="dxa" w:w="304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327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04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32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Integration Development Lead</w:t>
            </w:r>
          </w:p>
        </w:tc>
        <w:tc>
          <w:tcPr>
            <w:tcW w:type="dxa" w:w="3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32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IT System Owner</w:t>
            </w:r>
          </w:p>
        </w:tc>
        <w:tc>
          <w:tcPr>
            <w:tcW w:type="dxa" w:w="3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32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CSV Lead</w:t>
            </w:r>
          </w:p>
        </w:tc>
        <w:tc>
          <w:tcPr>
            <w:tcW w:type="dxa" w:w="3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2026-12-20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QCL-2026-CRU-001 | Version 1.0 | Approved in fictional case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QCL-2026-CRU-001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Review and Unit Test Report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