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Site Acceptance Test Protocol and Report</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QCL-2026-SAT-001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Verification</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2027-02-20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QCL-2026-SAT-001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Verification</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2027-02-20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Objective</w:t>
      </w:r>
    </w:p>
    <w:p>
      <w:pPr>
        <w:spacing w:after="120" w:line="300" w:lineRule="auto"/>
      </w:pPr>
      <w:r>
        <w:rPr>
          <w:rFonts w:ascii="Calibri" w:hAnsi="Calibri"/>
          <w:b w:val="0"/>
          <w:i w:val="0"/>
          <w:color w:val="000000"/>
          <w:sz w:val="22"/>
        </w:rPr>
        <w:t>SAT confirmed that the approved solution operated correctly with site networks, identity, interfaces, instruments, peripherals, monitoring and archive services.</w:t>
      </w:r>
    </w:p>
    <w:p>
      <w:pPr>
        <w:pStyle w:val="Heading1"/>
      </w:pPr>
      <w:r>
        <w:t>2. Execution</w:t>
      </w:r>
    </w:p>
    <w:p>
      <w:pPr>
        <w:spacing w:after="120" w:line="300" w:lineRule="auto"/>
      </w:pPr>
      <w:r>
        <w:rPr>
          <w:rFonts w:ascii="Calibri" w:hAnsi="Calibri"/>
          <w:b w:val="0"/>
          <w:i w:val="0"/>
          <w:color w:val="000000"/>
          <w:sz w:val="22"/>
        </w:rPr>
        <w:t>Executed 2027-02-13 to 2027-02-18 in the site validation environment using the approved deployment package.</w:t>
      </w:r>
    </w:p>
    <w:p>
      <w:pPr>
        <w:pStyle w:val="Heading1"/>
      </w:pPr>
      <w:r>
        <w:t>3. Results</w:t>
      </w:r>
    </w:p>
    <w:tbl>
      <w:tblPr>
        <w:tblStyle w:val="TableGrid"/>
        <w:tblW w:type="dxa" w:w="9360"/>
        <w:tblLayout w:type="fixed"/>
        <w:tblLook w:firstColumn="1" w:firstRow="1" w:lastColumn="0" w:lastRow="0" w:noHBand="0" w:noVBand="1" w:val="04A0"/>
        <w:tblInd w:w="120" w:type="dxa"/>
      </w:tblPr>
      <w:tblGrid>
        <w:gridCol w:w="720"/>
        <w:gridCol w:w="3510"/>
        <w:gridCol w:w="3677"/>
        <w:gridCol w:w="1453"/>
      </w:tblGrid>
      <w:tr>
        <w:trPr>
          <w:tblHeader w:val="true"/>
        </w:trPr>
        <w:tc>
          <w:tcPr>
            <w:tcW w:type="dxa" w:w="72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Test</w:t>
            </w:r>
          </w:p>
        </w:tc>
        <w:tc>
          <w:tcPr>
            <w:tcW w:type="dxa" w:w="351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Area</w:t>
            </w:r>
          </w:p>
        </w:tc>
        <w:tc>
          <w:tcPr>
            <w:tcW w:type="dxa" w:w="3677"/>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Acceptance</w:t>
            </w:r>
          </w:p>
        </w:tc>
        <w:tc>
          <w:tcPr>
            <w:tcW w:type="dxa" w:w="1453"/>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Result</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SAT-001</w:t>
            </w:r>
          </w:p>
        </w:tc>
        <w:tc>
          <w:tcPr>
            <w:tcW w:type="dxa" w:w="351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Production/validation URL and network path</w:t>
            </w:r>
          </w:p>
        </w:tc>
        <w:tc>
          <w:tcPr>
            <w:tcW w:type="dxa" w:w="36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Accessible only from approved networks</w:t>
            </w:r>
          </w:p>
        </w:tc>
        <w:tc>
          <w:tcPr>
            <w:tcW w:type="dxa" w:w="1453"/>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SAT-002</w:t>
            </w:r>
          </w:p>
        </w:tc>
        <w:tc>
          <w:tcPr>
            <w:tcW w:type="dxa" w:w="351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Corporate SSO and role claims</w:t>
            </w:r>
          </w:p>
        </w:tc>
        <w:tc>
          <w:tcPr>
            <w:tcW w:type="dxa" w:w="36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Correct identity/role mapping</w:t>
            </w:r>
          </w:p>
        </w:tc>
        <w:tc>
          <w:tcPr>
            <w:tcW w:type="dxa" w:w="1453"/>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SAT-003</w:t>
            </w:r>
          </w:p>
        </w:tc>
        <w:tc>
          <w:tcPr>
            <w:tcW w:type="dxa" w:w="351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SAP connectivity and sample message</w:t>
            </w:r>
          </w:p>
        </w:tc>
        <w:tc>
          <w:tcPr>
            <w:tcW w:type="dxa" w:w="36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End-to-end acknowledgement</w:t>
            </w:r>
          </w:p>
        </w:tc>
        <w:tc>
          <w:tcPr>
            <w:tcW w:type="dxa" w:w="1453"/>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SAT-004</w:t>
            </w:r>
          </w:p>
        </w:tc>
        <w:tc>
          <w:tcPr>
            <w:tcW w:type="dxa" w:w="351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eQMS/CDS connectivity</w:t>
            </w:r>
          </w:p>
        </w:tc>
        <w:tc>
          <w:tcPr>
            <w:tcW w:type="dxa" w:w="36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Secure connection and sandbox transaction</w:t>
            </w:r>
          </w:p>
        </w:tc>
        <w:tc>
          <w:tcPr>
            <w:tcW w:type="dxa" w:w="1453"/>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SAT-005</w:t>
            </w:r>
          </w:p>
        </w:tc>
        <w:tc>
          <w:tcPr>
            <w:tcW w:type="dxa" w:w="351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24 instrument/device endpoints</w:t>
            </w:r>
          </w:p>
        </w:tc>
        <w:tc>
          <w:tcPr>
            <w:tcW w:type="dxa" w:w="36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Correct device identity and normalized data</w:t>
            </w:r>
          </w:p>
        </w:tc>
        <w:tc>
          <w:tcPr>
            <w:tcW w:type="dxa" w:w="1453"/>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SAT-006</w:t>
            </w:r>
          </w:p>
        </w:tc>
        <w:tc>
          <w:tcPr>
            <w:tcW w:type="dxa" w:w="351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Barcode printers/scanners</w:t>
            </w:r>
          </w:p>
        </w:tc>
        <w:tc>
          <w:tcPr>
            <w:tcW w:type="dxa" w:w="36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Readable, correctly associated barcode</w:t>
            </w:r>
          </w:p>
        </w:tc>
        <w:tc>
          <w:tcPr>
            <w:tcW w:type="dxa" w:w="1453"/>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 after DEF-006</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SAT-007</w:t>
            </w:r>
          </w:p>
        </w:tc>
        <w:tc>
          <w:tcPr>
            <w:tcW w:type="dxa" w:w="351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Monitoring, logs and alerts</w:t>
            </w:r>
          </w:p>
        </w:tc>
        <w:tc>
          <w:tcPr>
            <w:tcW w:type="dxa" w:w="36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Alerts reach approved support groups</w:t>
            </w:r>
          </w:p>
        </w:tc>
        <w:tc>
          <w:tcPr>
            <w:tcW w:type="dxa" w:w="1453"/>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SAT-008</w:t>
            </w:r>
          </w:p>
        </w:tc>
        <w:tc>
          <w:tcPr>
            <w:tcW w:type="dxa" w:w="351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Backup and gateway configuration export</w:t>
            </w:r>
          </w:p>
        </w:tc>
        <w:tc>
          <w:tcPr>
            <w:tcW w:type="dxa" w:w="36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Successful and monitored</w:t>
            </w:r>
          </w:p>
        </w:tc>
        <w:tc>
          <w:tcPr>
            <w:tcW w:type="dxa" w:w="1453"/>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SAT-009</w:t>
            </w:r>
          </w:p>
        </w:tc>
        <w:tc>
          <w:tcPr>
            <w:tcW w:type="dxa" w:w="351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Vendor remote support workflow</w:t>
            </w:r>
          </w:p>
        </w:tc>
        <w:tc>
          <w:tcPr>
            <w:tcW w:type="dxa" w:w="36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Disabled by default; approved session logged</w:t>
            </w:r>
          </w:p>
        </w:tc>
        <w:tc>
          <w:tcPr>
            <w:tcW w:type="dxa" w:w="1453"/>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SAT-010</w:t>
            </w:r>
          </w:p>
        </w:tc>
        <w:tc>
          <w:tcPr>
            <w:tcW w:type="dxa" w:w="351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ArchiveVault test package</w:t>
            </w:r>
          </w:p>
        </w:tc>
        <w:tc>
          <w:tcPr>
            <w:tcW w:type="dxa" w:w="36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Transferred, checksum and retrieved</w:t>
            </w:r>
          </w:p>
        </w:tc>
        <w:tc>
          <w:tcPr>
            <w:tcW w:type="dxa" w:w="1453"/>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bl>
    <w:p>
      <w:pPr>
        <w:spacing w:after="80"/>
      </w:pPr>
    </w:p>
    <w:p>
      <w:pPr>
        <w:pStyle w:val="Heading1"/>
      </w:pPr>
      <w:r>
        <w:t>4. Deviation/defect</w:t>
      </w:r>
    </w:p>
    <w:p>
      <w:pPr>
        <w:spacing w:after="120" w:line="300" w:lineRule="auto"/>
      </w:pPr>
      <w:r>
        <w:rPr>
          <w:rFonts w:ascii="Calibri" w:hAnsi="Calibri"/>
          <w:b w:val="0"/>
          <w:i w:val="0"/>
          <w:color w:val="000000"/>
          <w:sz w:val="22"/>
        </w:rPr>
        <w:t>One printer had an obsolete driver (DEF-006). The approved driver was installed and the affected print/scan test repeated successfully.</w:t>
      </w:r>
    </w:p>
    <w:p>
      <w:pPr>
        <w:pStyle w:val="Heading1"/>
      </w:pPr>
      <w:r>
        <w:t>5. Conclusion</w:t>
      </w:r>
    </w:p>
    <w:p>
      <w:pPr>
        <w:spacing w:after="120" w:line="300" w:lineRule="auto"/>
      </w:pPr>
      <w:r>
        <w:rPr>
          <w:rFonts w:ascii="Calibri" w:hAnsi="Calibri"/>
          <w:b w:val="0"/>
          <w:i w:val="0"/>
          <w:color w:val="000000"/>
          <w:sz w:val="22"/>
        </w:rPr>
        <w:t>The site environment met SAT exit criteria and was released to formal qualification/validation testing.</w:t>
      </w:r>
    </w:p>
    <w:p>
      <w:pPr>
        <w:spacing w:after="120" w:line="300" w:lineRule="auto"/>
      </w:pPr>
      <w:r>
        <w:rPr>
          <w:rFonts w:ascii="Calibri" w:hAnsi="Calibri"/>
          <w:b w:val="0"/>
          <w:i w:val="0"/>
          <w:color w:val="000000"/>
          <w:sz w:val="22"/>
        </w:rPr>
        <w:t>SAT release confirms that the installed site environment is stable enough for formal testing. It does not approve production use or close validation requirements. Any difference between FAT build, installed build and SAT-accepted build shall be reflected in the configuration item register and test impact assessment.</w:t>
      </w:r>
    </w:p>
    <w:tbl>
      <w:tblPr>
        <w:tblStyle w:val="TableGrid"/>
        <w:tblW w:type="dxa" w:w="9360"/>
        <w:tblLayout w:type="fixed"/>
        <w:tblLook w:firstColumn="1" w:firstRow="1" w:lastColumn="0" w:lastRow="0" w:noHBand="0" w:noVBand="1" w:val="04A0"/>
        <w:tblInd w:w="120" w:type="dxa"/>
      </w:tblPr>
      <w:tblGrid>
        <w:gridCol w:w="3702"/>
        <w:gridCol w:w="5658"/>
      </w:tblGrid>
      <w:tr>
        <w:trPr>
          <w:tblHeader w:val="true"/>
        </w:trPr>
        <w:tc>
          <w:tcPr>
            <w:tcW w:type="dxa" w:w="370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SAT readiness area</w:t>
            </w:r>
          </w:p>
        </w:tc>
        <w:tc>
          <w:tcPr>
            <w:tcW w:type="dxa" w:w="565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Acceptance expectation</w:t>
            </w:r>
          </w:p>
        </w:tc>
      </w:tr>
      <w:tr>
        <w:tc>
          <w:tcPr>
            <w:tcW w:type="dxa" w:w="37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Environment</w:t>
            </w:r>
          </w:p>
        </w:tc>
        <w:tc>
          <w:tcPr>
            <w:tcW w:type="dxa" w:w="56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Correct tenant/server, network, monitoring and backup inclusion</w:t>
            </w:r>
          </w:p>
        </w:tc>
      </w:tr>
      <w:tr>
        <w:tc>
          <w:tcPr>
            <w:tcW w:type="dxa" w:w="37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Device/interface connectivity</w:t>
            </w:r>
          </w:p>
        </w:tc>
        <w:tc>
          <w:tcPr>
            <w:tcW w:type="dxa" w:w="56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 devices and endpoints communicate using approved settings</w:t>
            </w:r>
          </w:p>
        </w:tc>
      </w:tr>
      <w:tr>
        <w:tc>
          <w:tcPr>
            <w:tcW w:type="dxa" w:w="37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Configuration import</w:t>
            </w:r>
          </w:p>
        </w:tc>
        <w:tc>
          <w:tcPr>
            <w:tcW w:type="dxa" w:w="56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Baseline package imported and smoke tested</w:t>
            </w:r>
          </w:p>
        </w:tc>
      </w:tr>
      <w:tr>
        <w:tc>
          <w:tcPr>
            <w:tcW w:type="dxa" w:w="37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Evidence control</w:t>
            </w:r>
          </w:p>
        </w:tc>
        <w:tc>
          <w:tcPr>
            <w:tcW w:type="dxa" w:w="56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Screenshots/logs identify environment, date/time and tester</w:t>
            </w:r>
          </w:p>
        </w:tc>
      </w:tr>
      <w:tr>
        <w:tc>
          <w:tcPr>
            <w:tcW w:type="dxa" w:w="37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Open issue</w:t>
            </w:r>
          </w:p>
        </w:tc>
        <w:tc>
          <w:tcPr>
            <w:tcW w:type="dxa" w:w="56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Defect/deviation has severity, owner, due date and retest plan</w:t>
            </w:r>
          </w:p>
        </w:tc>
      </w:tr>
    </w:tbl>
    <w:p>
      <w:pPr>
        <w:spacing w:after="80"/>
      </w:pPr>
    </w:p>
    <w:p>
      <w:pPr>
        <w:pStyle w:val="Heading1"/>
      </w:pPr>
      <w:r>
        <w:t>6.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QCL-2026-BLD-001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[Installation, Build and Configuration Record](040_Installation_Build_and_Configuration_Record.md)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QCL-2026-CIR-001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[Configuration Item and Version Register](041_Configuration_Item_and_Version_Register.md)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QCL-2026-FAT-001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[Factory Acceptance Test Protocol and Report](044_Factory_Acceptance_Test_Protocol_and_Report.md)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QCL-2026-VTP-001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Test Plan and Strategy](046_Validation_Test_Plan_and_Strategy.md)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QCL-2026-IQ-001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[Installation Qualification Protocol and Report](048_Installation_Qualification_Protocol_and_Report.md)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QCL-2026-IFT-001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[Interface Test Protocol and Report](051_Interface_Test_Protocol_and_Report.md)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QCL-2026-DEF-001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[Defect Log and Resolution Report](060_Defect_Log_and_Resolution_Report.md)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288"/>
        <w:gridCol w:w="2782"/>
        <w:gridCol w:w="3290"/>
      </w:tblGrid>
      <w:tr>
        <w:trPr>
          <w:tblHeader w:val="true"/>
        </w:trPr>
        <w:tc>
          <w:tcPr>
            <w:tcW w:type="dxa" w:w="328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78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29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28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7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Test Lead</w:t>
            </w:r>
          </w:p>
        </w:tc>
        <w:tc>
          <w:tcPr>
            <w:tcW w:type="dxa" w:w="329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28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7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Business Process Owner</w:t>
            </w:r>
          </w:p>
        </w:tc>
        <w:tc>
          <w:tcPr>
            <w:tcW w:type="dxa" w:w="329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28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7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Validation Manager</w:t>
            </w:r>
          </w:p>
        </w:tc>
        <w:tc>
          <w:tcPr>
            <w:tcW w:type="dxa" w:w="329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2027-02-20</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QCL-2026-SAT-001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QCL-2026-SAT-001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Acceptance Test Protocol and Report</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