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Validation Test Plan and Strategy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QCL-2026-VTP-001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Verification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2027-02-28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QCL-2026-VTP-001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Verification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2027-02-28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Test strategy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Testing is risk-based and combines supplier evidence, scripted company tests and representative UAT. High-risk controls receive explicit normal, boundary, negative and failure testing.</w:t>
      </w:r>
    </w:p>
    <w:p>
      <w:pPr>
        <w:pStyle w:val="Heading1"/>
      </w:pPr>
      <w:r>
        <w:t>2. Test levels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70"/>
        <w:gridCol w:w="4515"/>
        <w:gridCol w:w="2875"/>
      </w:tblGrid>
      <w:tr>
        <w:trPr>
          <w:tblHeader w:val="true"/>
        </w:trPr>
        <w:tc>
          <w:tcPr>
            <w:tcW w:type="dxa" w:w="197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Level</w:t>
            </w:r>
          </w:p>
        </w:tc>
        <w:tc>
          <w:tcPr>
            <w:tcW w:type="dxa" w:w="4515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Purpose</w:t>
            </w:r>
          </w:p>
        </w:tc>
        <w:tc>
          <w:tcPr>
            <w:tcW w:type="dxa" w:w="2875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Primary evidence</w:t>
            </w:r>
          </w:p>
        </w:tc>
      </w:tr>
      <w:tr>
        <w:tc>
          <w:tcPr>
            <w:tcW w:type="dxa" w:w="19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IQ</w:t>
            </w:r>
          </w:p>
        </w:tc>
        <w:tc>
          <w:tcPr>
            <w:tcW w:type="dxa" w:w="45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Confirm approved components, versions, environment, infrastructure and documents</w:t>
            </w:r>
          </w:p>
        </w:tc>
        <w:tc>
          <w:tcPr>
            <w:tcW w:type="dxa" w:w="2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IQ-001–015</w:t>
            </w:r>
          </w:p>
        </w:tc>
      </w:tr>
      <w:tr>
        <w:tc>
          <w:tcPr>
            <w:tcW w:type="dxa" w:w="19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</w:t>
            </w:r>
          </w:p>
        </w:tc>
        <w:tc>
          <w:tcPr>
            <w:tcW w:type="dxa" w:w="45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Challenge configured functional and control behaviour</w:t>
            </w:r>
          </w:p>
        </w:tc>
        <w:tc>
          <w:tcPr>
            <w:tcW w:type="dxa" w:w="2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OQ-GEN/SMP/SPEC/LES/CALC/SEC/DI/OPS</w:t>
            </w:r>
          </w:p>
        </w:tc>
      </w:tr>
      <w:tr>
        <w:tc>
          <w:tcPr>
            <w:tcW w:type="dxa" w:w="19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Specialised verification</w:t>
            </w:r>
          </w:p>
        </w:tc>
        <w:tc>
          <w:tcPr>
            <w:tcW w:type="dxa" w:w="45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Interface, migration, access, audit trail, e-signature, backup, performance, DR and reports</w:t>
            </w:r>
          </w:p>
        </w:tc>
        <w:tc>
          <w:tcPr>
            <w:tcW w:type="dxa" w:w="2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IFT/SEC/ATC/EST/DMT/BRT/PLC/DRT/RPT</w:t>
            </w:r>
          </w:p>
        </w:tc>
      </w:tr>
      <w:tr>
        <w:tc>
          <w:tcPr>
            <w:tcW w:type="dxa" w:w="19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PQ/UAT</w:t>
            </w:r>
          </w:p>
        </w:tc>
        <w:tc>
          <w:tcPr>
            <w:tcW w:type="dxa" w:w="45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Demonstrate representative GMP processes with trained business roles</w:t>
            </w:r>
          </w:p>
        </w:tc>
        <w:tc>
          <w:tcPr>
            <w:tcW w:type="dxa" w:w="2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PQ-001–012</w:t>
            </w:r>
          </w:p>
        </w:tc>
      </w:tr>
    </w:tbl>
    <w:p>
      <w:pPr>
        <w:spacing w:after="80"/>
      </w:pPr>
    </w:p>
    <w:p>
      <w:pPr>
        <w:pStyle w:val="Heading1"/>
      </w:pPr>
      <w:r>
        <w:t>3. Test environment and data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Formal OQ/PQ uses validation environment `QCL-VAL-CN-E01`, matching the approved production release/configuration. Synthetic data set `TD-QCL-1.2` includes normal, boundary, invalid, OOS/OOT, multilingual, large-volume and migration scenarios.</w:t>
      </w:r>
    </w:p>
    <w:p>
      <w:pPr>
        <w:pStyle w:val="Heading1"/>
      </w:pPr>
      <w:r>
        <w:t>4. Evidence rules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Each step records tester, date/time, actual result and evidence reference. Screenshots alone are insufficient where logs, database-independent reports, source/target comparisons or exported audit trails provide better evidence. Corrections to test records follow good documentation practice.</w:t>
      </w:r>
    </w:p>
    <w:p>
      <w:pPr>
        <w:pStyle w:val="Heading1"/>
      </w:pPr>
      <w:r>
        <w:t>5. Defect/deviation classification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Critical—credible patient/product/data loss risk and no workaround; High—major GxP function fails; Medium—control gap with contained impact; Low—minor usability/documentation issue. Failed expected results require a defect and, where protocol execution deviates, a validation deviation.</w:t>
      </w:r>
    </w:p>
    <w:p>
      <w:pPr>
        <w:pStyle w:val="Heading1"/>
      </w:pPr>
      <w:r>
        <w:t>6. Entry/exit criteria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Entry: approved URS/design/FRA/scripts, stable build, trained testers and controlled data. Exit: all required tests executed, no open Critical/High item, Medium items resolved or accepted, traceability complete and test summary approved.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Scripted tests are required where objective acceptance criteria, high-risk controls or regulated calculations/interfaces are involved. Unscripted exploratory or business-observation testing may support usability and process fit only when scope, tester, data, observation and conclusion are recorded. Failed expected results shall not be overwritten by informal retest.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941"/>
        <w:gridCol w:w="5419"/>
      </w:tblGrid>
      <w:tr>
        <w:trPr>
          <w:tblHeader w:val="true"/>
        </w:trPr>
        <w:tc>
          <w:tcPr>
            <w:tcW w:type="dxa" w:w="394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Test governance rule</w:t>
            </w:r>
          </w:p>
        </w:tc>
        <w:tc>
          <w:tcPr>
            <w:tcW w:type="dxa" w:w="5419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Required practice</w:t>
            </w:r>
          </w:p>
        </w:tc>
      </w:tr>
      <w:tr>
        <w:tc>
          <w:tcPr>
            <w:tcW w:type="dxa" w:w="39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Pre-approved script</w:t>
            </w:r>
          </w:p>
        </w:tc>
        <w:tc>
          <w:tcPr>
            <w:tcW w:type="dxa" w:w="54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Objective steps, expected result and evidence type defined before execution</w:t>
            </w:r>
          </w:p>
        </w:tc>
      </w:tr>
      <w:tr>
        <w:tc>
          <w:tcPr>
            <w:tcW w:type="dxa" w:w="39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Tester independence</w:t>
            </w:r>
          </w:p>
        </w:tc>
        <w:tc>
          <w:tcPr>
            <w:tcW w:type="dxa" w:w="54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Reviewer/approver independence maintained where required by risk</w:t>
            </w:r>
          </w:p>
        </w:tc>
      </w:tr>
      <w:tr>
        <w:tc>
          <w:tcPr>
            <w:tcW w:type="dxa" w:w="39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Test data control</w:t>
            </w:r>
          </w:p>
        </w:tc>
        <w:tc>
          <w:tcPr>
            <w:tcW w:type="dxa" w:w="54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Synthetic or approved masked data identified and retained</w:t>
            </w:r>
          </w:p>
        </w:tc>
      </w:tr>
      <w:tr>
        <w:tc>
          <w:tcPr>
            <w:tcW w:type="dxa" w:w="39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Retest</w:t>
            </w:r>
          </w:p>
        </w:tc>
        <w:tc>
          <w:tcPr>
            <w:tcW w:type="dxa" w:w="54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Links original failure, correction, impact and passing evidence</w:t>
            </w:r>
          </w:p>
        </w:tc>
      </w:tr>
      <w:tr>
        <w:tc>
          <w:tcPr>
            <w:tcW w:type="dxa" w:w="39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Evidence legibility</w:t>
            </w:r>
          </w:p>
        </w:tc>
        <w:tc>
          <w:tcPr>
            <w:tcW w:type="dxa" w:w="54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Screenshots/logs show system, environment, record and timestamp where practical</w:t>
            </w:r>
          </w:p>
        </w:tc>
      </w:tr>
    </w:tbl>
    <w:p>
      <w:pPr>
        <w:spacing w:after="80"/>
      </w:pPr>
    </w:p>
    <w:p>
      <w:pPr>
        <w:pStyle w:val="Heading1"/>
      </w:pPr>
      <w:r>
        <w:t>7.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QCL-2026-VP-001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Project Validation Plan](015_Project_Validation_Plan.md)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QCL-2026-SDL-001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[Supplier Documentation Leveraging Assessment](021_Supplier_Documentation_Leveraging_Assessment.md)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QCL-2026-URS-001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[User Requirements Specification](022_User_Requirements_Specification.md)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QCL-2026-FRA-001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[Functional Risk Assessment](038_Functional_Risk_Assessment.md)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QCL-2026-RTM-001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[Initial Requirements Traceability Matrix](039_Initial_Requirements_Traceability_Matrix.md)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QCL-2026-FAT-001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[Factory Acceptance Test Protocol and Report](044_Factory_Acceptance_Test_Protocol_and_Report.md)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QCL-2026-SAT-001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[Site Acceptance Test Protocol and Report](045_Site_Acceptance_Test_Protocol_and_Report.md)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QCL-2026-MTS-001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[Master Test Scripts and Test Data Catalogue](047_Master_Test_Scripts_and_Test_Data_Catalogue.md)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QCL-2026-IQ-001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[Installation Qualification Protocol and Report](048_Installation_Qualification_Protocol_and_Report.md)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QCL-2026-OQ-001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[Operational Qualification Protocol and Report](049_Operational_Qualification_Protocol_and_Report.md)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QCL-2026-PQ-001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[Performance Qualification and User Acceptance Test Report](050_Performance_Qualification_and_UAT_Report.md)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QCL-2026-IFT-001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[Interface Test Protocol and Report](051_Interface_Test_Protocol_and_Report.md)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QCL-2026-DMT-001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Migration Test and Reconciliation Report](052_Data_Migration_Test_and_Reconciliation_Report.md)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QCL-2026-SEC-001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[Security, Access and Segregation of Duties Test Report](053_Security_Access_and_Segregation_of_Duties_Test.md)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QCL-2026-ATC-001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[Audit Trail Challenge Test Report](054_Audit_Trail_Challenge_Test_Report.md)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QCL-2026-EST-001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[Electronic Signature Test Report](055_Electronic_Signature_Test_Report.md)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QCL-2026-BRT-001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[Backup and Restore Test Report](056_Backup_and_Restore_Test_Report.md)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QCL-2026-PLC-001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[Performance, Load and Capacity Test Report](057_Performance_Load_and_Capacity_Test_Report.md)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QCL-2026-DRT-001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[Failover and Disaster Recovery Test Report](058_Failover_and_Disaster_Recovery_Test_Report.md)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QCL-2026-RPT-001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[Report, Print and Export Verification Report](059_Report_Print_and_Export_Verification_Report.md)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QCL-2026-DEF-001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[Defect Log and Resolution Report](060_Defect_Log_and_Resolution_Report.md)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QCL-2026-DEV-001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[Validation Deviation Log and Investigation Report](061_Validation_Deviation_Log_and_Investigation_Report.md)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QCL-2026-CAPA-001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[CAPA Record and Effectiveness Check](062_CAPA_Record_and_Effectiveness_Check.md)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QCL-2026-TSR-001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[Test Summary Report](063_Test_Summary_Report.md)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288"/>
        <w:gridCol w:w="2782"/>
        <w:gridCol w:w="3290"/>
      </w:tblGrid>
      <w:tr>
        <w:trPr>
          <w:tblHeader w:val="true"/>
        </w:trPr>
        <w:tc>
          <w:tcPr>
            <w:tcW w:type="dxa" w:w="328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278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29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2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278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Test Lead</w:t>
            </w:r>
          </w:p>
        </w:tc>
        <w:tc>
          <w:tcPr>
            <w:tcW w:type="dxa" w:w="32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2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278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Business Process Owner</w:t>
            </w:r>
          </w:p>
        </w:tc>
        <w:tc>
          <w:tcPr>
            <w:tcW w:type="dxa" w:w="32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2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278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Validation Manager</w:t>
            </w:r>
          </w:p>
        </w:tc>
        <w:tc>
          <w:tcPr>
            <w:tcW w:type="dxa" w:w="32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2027-02-28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QCL-2026-VTP-001 | Version 1.0 | Approved in fictional case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QCL-2026-VTP-001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Validation Test Plan and Strategy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