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Operational Qualification Protocol and Report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QCL-2026-OQ-001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Verification</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2027-04-30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QCL-2026-OQ-001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Verification</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2027-04-30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Objective</w:t>
      </w:r>
    </w:p>
    <w:p>
      <w:pPr>
        <w:spacing w:after="120" w:line="300" w:lineRule="auto"/>
      </w:pPr>
      <w:r>
        <w:rPr>
          <w:rFonts w:ascii="Calibri" w:hAnsi="Calibri"/>
          <w:b w:val="0"/>
          <w:i w:val="0"/>
          <w:color w:val="000000"/>
          <w:sz w:val="22"/>
        </w:rPr>
        <w:t>OQ challenged configured functional behaviour, including negative and boundary conditions, against approved URS, specifications and FRA controls.</w:t>
      </w:r>
    </w:p>
    <w:p>
      <w:pPr>
        <w:pStyle w:val="Heading1"/>
      </w:pPr>
      <w:r>
        <w:t>2. Executed OQ cases</w:t>
      </w:r>
    </w:p>
    <w:tbl>
      <w:tblPr>
        <w:tblStyle w:val="TableGrid"/>
        <w:tblW w:type="dxa" w:w="9360"/>
        <w:tblLayout w:type="fixed"/>
        <w:tblLook w:firstColumn="1" w:firstRow="1" w:lastColumn="0" w:lastRow="0" w:noHBand="0" w:noVBand="1" w:val="04A0"/>
        <w:tblInd w:w="120" w:type="dxa"/>
      </w:tblPr>
      <w:tblGrid>
        <w:gridCol w:w="1472"/>
        <w:gridCol w:w="5784"/>
        <w:gridCol w:w="841"/>
        <w:gridCol w:w="1263"/>
      </w:tblGrid>
      <w:tr>
        <w:trPr>
          <w:tblHeader w:val="true"/>
        </w:trPr>
        <w:tc>
          <w:tcPr>
            <w:tcW w:type="dxa" w:w="147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Test ID</w:t>
            </w:r>
          </w:p>
        </w:tc>
        <w:tc>
          <w:tcPr>
            <w:tcW w:type="dxa" w:w="578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Test</w:t>
            </w:r>
          </w:p>
        </w:tc>
        <w:tc>
          <w:tcPr>
            <w:tcW w:type="dxa" w:w="84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Type</w:t>
            </w:r>
          </w:p>
        </w:tc>
        <w:tc>
          <w:tcPr>
            <w:tcW w:type="dxa" w:w="1263"/>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Result</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OQ-SMP-001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Create SAP-origin sample request; generate sample ID and barcode</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OQ-SMP-002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Record receipt, reject, transfer, aliquot and disposal with custody history</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OQ-SMP-003</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Assign tests from effective specification and block closure with open work</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OQ-SMP-004</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Calculate stability pull date and overdue alert</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OQ-SPEC-001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Create, approve, effective-date and obsolete a specification</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OQ-SPEC-002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Confirm historical record retains original specification/method version</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OQ-SPEC-003</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numeric, qualitative, text and enumerated result types</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OQ-LES-001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Execute approved LES steps and enforce prerequisites/mandatory fields</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OQ-LES-002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Capture reagent, standard, instrument and lot references</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OQ-LES-003</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Direct capture from balance, pH meter and TOC analyzer</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OQ-LES-004</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Manual entry reason and independent verification</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OQ-LES-005</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Pause, abort, repeat-test and exception dashboard</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OQ-LES-006</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Prevent analyst self-approval</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OQ-CALC-001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assay and dilution formula calculations</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OQ-CALC-002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significant figures, rounding and boundary limits</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OQ-CALC-003</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formula history and controlled change</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OQ-SEC-001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SSO, unique account and disabled local login</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OQ-SEC-002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positive/negative permissions for each business role</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OQ-SEC-003</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session lock and account disablement</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OQ-SEC-004</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vendor remote access approval, timeout and logging</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OQ-DI-001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system time synchronization and timezone control</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OQ-DI-002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record retention and routine deletion restrictions</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OQ-OPS-001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Generate access, audit trail, backup and operational reports</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OQ-GEN-001</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application/environment/version display</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r>
        <w:tc>
          <w:tcPr>
            <w:tcW w:type="dxa" w:w="147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OQ-GEN-002</w:t>
            </w:r>
          </w:p>
        </w:tc>
        <w:tc>
          <w:tcPr>
            <w:tcW w:type="dxa" w:w="578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Verify unique identifier non-reuse and production baseline control</w:t>
            </w:r>
          </w:p>
        </w:tc>
        <w:tc>
          <w:tcPr>
            <w:tcW w:type="dxa" w:w="8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OQ</w:t>
            </w:r>
          </w:p>
        </w:tc>
        <w:tc>
          <w:tcPr>
            <w:tcW w:type="dxa" w:w="1263"/>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Pass</w:t>
            </w:r>
          </w:p>
        </w:tc>
      </w:tr>
    </w:tbl>
    <w:p>
      <w:pPr>
        <w:spacing w:after="80"/>
      </w:pPr>
    </w:p>
    <w:p>
      <w:pPr>
        <w:pStyle w:val="Heading1"/>
      </w:pPr>
      <w:r>
        <w:t>3. Representative actual results</w:t>
      </w:r>
    </w:p>
    <w:p>
      <w:pPr>
        <w:pStyle w:val="ListBullet"/>
        <w:spacing w:after="80" w:line="300" w:lineRule="auto"/>
      </w:pPr>
      <w:r>
        <w:rPr>
          <w:rFonts w:ascii="Calibri" w:hAnsi="Calibri"/>
          <w:color w:val="000000"/>
          <w:sz w:val="22"/>
        </w:rPr>
        <w:t>Duplicate sample ID and self-approval attempts were rejected.</w:t>
      </w:r>
    </w:p>
    <w:p>
      <w:pPr>
        <w:pStyle w:val="ListBullet"/>
        <w:spacing w:after="80" w:line="300" w:lineRule="auto"/>
      </w:pPr>
      <w:r>
        <w:rPr>
          <w:rFonts w:ascii="Calibri" w:hAnsi="Calibri"/>
          <w:color w:val="000000"/>
          <w:sz w:val="22"/>
        </w:rPr>
        <w:t>Historical specifications remained unchanged after a new version became effective.</w:t>
      </w:r>
    </w:p>
    <w:p>
      <w:pPr>
        <w:pStyle w:val="ListBullet"/>
        <w:spacing w:after="80" w:line="300" w:lineRule="auto"/>
      </w:pPr>
      <w:r>
        <w:rPr>
          <w:rFonts w:ascii="Calibri" w:hAnsi="Calibri"/>
          <w:color w:val="000000"/>
          <w:sz w:val="22"/>
        </w:rPr>
        <w:t>Formula outputs matched independent references, including rounding and limit boundaries.</w:t>
      </w:r>
    </w:p>
    <w:p>
      <w:pPr>
        <w:pStyle w:val="ListBullet"/>
        <w:spacing w:after="80" w:line="300" w:lineRule="auto"/>
      </w:pPr>
      <w:r>
        <w:rPr>
          <w:rFonts w:ascii="Calibri" w:hAnsi="Calibri"/>
          <w:color w:val="000000"/>
          <w:sz w:val="22"/>
        </w:rPr>
        <w:t>Manual critical result required reason and independent verification.</w:t>
      </w:r>
    </w:p>
    <w:p>
      <w:pPr>
        <w:pStyle w:val="ListBullet"/>
        <w:spacing w:after="80" w:line="300" w:lineRule="auto"/>
      </w:pPr>
      <w:r>
        <w:rPr>
          <w:rFonts w:ascii="Calibri" w:hAnsi="Calibri"/>
          <w:color w:val="000000"/>
          <w:sz w:val="22"/>
        </w:rPr>
        <w:t>Local interactive login was disabled; session lock occurred at 15 minutes.</w:t>
      </w:r>
    </w:p>
    <w:p>
      <w:pPr>
        <w:pStyle w:val="ListBullet"/>
        <w:spacing w:after="80" w:line="300" w:lineRule="auto"/>
      </w:pPr>
      <w:r>
        <w:rPr>
          <w:rFonts w:ascii="Calibri" w:hAnsi="Calibri"/>
          <w:color w:val="000000"/>
          <w:sz w:val="22"/>
        </w:rPr>
        <w:t>Routine users could not delete GxP records.</w:t>
      </w:r>
    </w:p>
    <w:p>
      <w:pPr>
        <w:pStyle w:val="ListBullet"/>
        <w:spacing w:after="80" w:line="300" w:lineRule="auto"/>
      </w:pPr>
      <w:r>
        <w:rPr>
          <w:rFonts w:ascii="Calibri" w:hAnsi="Calibri"/>
          <w:color w:val="000000"/>
          <w:sz w:val="22"/>
        </w:rPr>
        <w:t>Required operational reports were generated.</w:t>
      </w:r>
    </w:p>
    <w:p>
      <w:pPr>
        <w:pStyle w:val="Heading1"/>
      </w:pPr>
      <w:r>
        <w:t>4. Exceptions</w:t>
      </w:r>
    </w:p>
    <w:p>
      <w:pPr>
        <w:spacing w:after="120" w:line="300" w:lineRule="auto"/>
      </w:pPr>
      <w:r>
        <w:rPr>
          <w:rFonts w:ascii="Calibri" w:hAnsi="Calibri"/>
          <w:b w:val="0"/>
          <w:i w:val="0"/>
          <w:color w:val="000000"/>
          <w:sz w:val="22"/>
        </w:rPr>
        <w:t>Audit trail-specific configuration failure was managed under DEV-001 and retested in Document 054. No other unresolved OQ issue remained.</w:t>
      </w:r>
    </w:p>
    <w:p>
      <w:pPr>
        <w:pStyle w:val="Heading1"/>
      </w:pPr>
      <w:r>
        <w:t>5. Conclusion</w:t>
      </w:r>
    </w:p>
    <w:p>
      <w:pPr>
        <w:spacing w:after="120" w:line="300" w:lineRule="auto"/>
      </w:pPr>
      <w:r>
        <w:rPr>
          <w:rFonts w:ascii="Calibri" w:hAnsi="Calibri"/>
          <w:b w:val="0"/>
          <w:i w:val="0"/>
          <w:color w:val="000000"/>
          <w:sz w:val="22"/>
        </w:rPr>
        <w:t>All planned OQ cases passed after controlled correction/retest. Configured functions are suitable to proceed to PQ/UAT.</w:t>
      </w:r>
    </w:p>
    <w:p>
      <w:pPr>
        <w:spacing w:after="120" w:line="300" w:lineRule="auto"/>
      </w:pPr>
      <w:r>
        <w:rPr>
          <w:rFonts w:ascii="Calibri" w:hAnsi="Calibri"/>
          <w:b w:val="0"/>
          <w:i w:val="0"/>
          <w:color w:val="000000"/>
          <w:sz w:val="22"/>
        </w:rPr>
        <w:t>OQ acceptance confirms that configured controls operate as specified under normal, boundary and negative conditions. It does not replace business-process acceptance in PQ. Any OQ test that relied on supplier evidence shall retain the leveraging rationale and demonstrate that the final site configuration was challenged where it affects intended use.</w:t>
      </w:r>
    </w:p>
    <w:tbl>
      <w:tblPr>
        <w:tblStyle w:val="TableGrid"/>
        <w:tblW w:type="dxa" w:w="9360"/>
        <w:tblLayout w:type="fixed"/>
        <w:tblLook w:firstColumn="1" w:firstRow="1" w:lastColumn="0" w:lastRow="0" w:noHBand="0" w:noVBand="1" w:val="04A0"/>
        <w:tblInd w:w="120" w:type="dxa"/>
      </w:tblPr>
      <w:tblGrid>
        <w:gridCol w:w="3442"/>
        <w:gridCol w:w="5918"/>
      </w:tblGrid>
      <w:tr>
        <w:trPr>
          <w:tblHeader w:val="true"/>
        </w:trPr>
        <w:tc>
          <w:tcPr>
            <w:tcW w:type="dxa" w:w="344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OQ coverage area</w:t>
            </w:r>
          </w:p>
        </w:tc>
        <w:tc>
          <w:tcPr>
            <w:tcW w:type="dxa" w:w="591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Evidence expectation</w:t>
            </w:r>
          </w:p>
        </w:tc>
      </w:tr>
      <w:tr>
        <w:tc>
          <w:tcPr>
            <w:tcW w:type="dxa" w:w="344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Configured workflow</w:t>
            </w:r>
          </w:p>
        </w:tc>
        <w:tc>
          <w:tcPr>
            <w:tcW w:type="dxa" w:w="591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states, prerequisites and blocked actions are challenged</w:t>
            </w:r>
          </w:p>
        </w:tc>
      </w:tr>
      <w:tr>
        <w:tc>
          <w:tcPr>
            <w:tcW w:type="dxa" w:w="344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Calculation/report logic</w:t>
            </w:r>
          </w:p>
        </w:tc>
        <w:tc>
          <w:tcPr>
            <w:tcW w:type="dxa" w:w="591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Boundary, invalid input and expected output are verified</w:t>
            </w:r>
          </w:p>
        </w:tc>
      </w:tr>
      <w:tr>
        <w:tc>
          <w:tcPr>
            <w:tcW w:type="dxa" w:w="344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Security/audit/e-signature</w:t>
            </w:r>
          </w:p>
        </w:tc>
        <w:tc>
          <w:tcPr>
            <w:tcW w:type="dxa" w:w="591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Positive and negative controls are tested</w:t>
            </w:r>
          </w:p>
        </w:tc>
      </w:tr>
      <w:tr>
        <w:tc>
          <w:tcPr>
            <w:tcW w:type="dxa" w:w="344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behavior</w:t>
            </w:r>
          </w:p>
        </w:tc>
        <w:tc>
          <w:tcPr>
            <w:tcW w:type="dxa" w:w="591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Error handling and reconciliation are included or linked</w:t>
            </w:r>
          </w:p>
        </w:tc>
      </w:tr>
      <w:tr>
        <w:tc>
          <w:tcPr>
            <w:tcW w:type="dxa" w:w="344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Retest</w:t>
            </w:r>
          </w:p>
        </w:tc>
        <w:tc>
          <w:tcPr>
            <w:tcW w:type="dxa" w:w="591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Failed result, fix, impact and passing retest remain traceable</w:t>
            </w:r>
          </w:p>
        </w:tc>
      </w:tr>
    </w:tbl>
    <w:p>
      <w:pPr>
        <w:spacing w:after="80"/>
      </w:pPr>
    </w:p>
    <w:p>
      <w:pPr>
        <w:pStyle w:val="Heading1"/>
      </w:pPr>
      <w:r>
        <w:t>6.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QCL-2026-URS-001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Requirements Specification](022_User_Requirements_Specification.md)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[Functional Specification](023_Functional_Specification.md)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[Configuration Specification](025_Configuration_Specification.md)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[Report and Calculation Specification](029_Report_and_Calculation_Specification.md)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QCL-2026-MDS-001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Data Specification](030_Master_Data_Specification.md)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and Access Control Matrix](031_Role_and_Access_Control_Matrix.md)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[Functional Risk Assessment](038_Functional_Risk_Assessment.md)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QCL-2026-VTP-001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Test Plan and Strategy](046_Validation_Test_Plan_and_Strategy.md)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QCL-2026-MTS-001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Test Scripts and Test Data Catalogue](047_Master_Test_Scripts_and_Test_Data_Catalogue.md)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QCL-2026-IQ-001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[Installation Qualification Protocol and Report](048_Installation_Qualification_Protocol_and_Report.md)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QCL-2026-PQ-001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[Performance Qualification and User Acceptance Test Report](050_Performance_Qualification_and_UAT_Report.md)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QCL-2026-ATC-001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Trail Challenge Test Report](054_Audit_Trail_Challenge_Test_Report.md)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QCL-2026-DEF-001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[Defect Log and Resolution Report](060_Defect_Log_and_Resolution_Report.md)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QCL-2026-DEV-001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Deviation Log and Investigation Report](061_Validation_Deviation_Log_and_Investigation_Report.md)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QCL-2026-TSR-001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[Test Summary Report](063_Test_Summary_Report.md)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QCL-2026-RTM-002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[Final Requirements Traceability Matrix](064_Final_Requirements_Traceability_Matrix.md)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Summary Report](065_Validation_Summary_Report.md)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288"/>
        <w:gridCol w:w="2782"/>
        <w:gridCol w:w="3290"/>
      </w:tblGrid>
      <w:tr>
        <w:trPr>
          <w:tblHeader w:val="true"/>
        </w:trPr>
        <w:tc>
          <w:tcPr>
            <w:tcW w:type="dxa" w:w="328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78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29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28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7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Test Lead</w:t>
            </w:r>
          </w:p>
        </w:tc>
        <w:tc>
          <w:tcPr>
            <w:tcW w:type="dxa" w:w="329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8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7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Process Owner</w:t>
            </w:r>
          </w:p>
        </w:tc>
        <w:tc>
          <w:tcPr>
            <w:tcW w:type="dxa" w:w="329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8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78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29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2027-04-30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QCL-2026-OQ-001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QCL-2026-OQ-001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Qualification Protocol and Report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