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Performance Qualification and User Acceptance Test Report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QCL-2026-PQ-001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Verification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2027-04-30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QCL-2026-PQ-001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Verification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2027-04-30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 and users</w:t>
      </w:r>
    </w:p>
    <w:p>
      <w:pPr>
        <w:spacing w:after="120" w:line="300" w:lineRule="auto"/>
      </w:pPr>
      <w:r>
        <w:rPr>
          <w:rFonts w:ascii="Calibri" w:hAnsi="Calibri"/>
          <w:b w:val="0"/>
          <w:i w:val="0"/>
          <w:color w:val="000000"/>
          <w:sz w:val="22"/>
        </w:rPr>
        <w:t>PQ/UAT demonstrated fitness for intended use through representative end-to-end GMP scenarios. Twenty-four trained users participated: 12 analysts, 5 reviewers, 3 supervisors, 2 QA reviewers, 1 master-data steward and 1 system administrator.</w:t>
      </w:r>
    </w:p>
    <w:p>
      <w:pPr>
        <w:pStyle w:val="Heading1"/>
      </w:pPr>
      <w:r>
        <w:t>2. Executed scenarios</w:t>
      </w:r>
    </w:p>
    <w:tbl>
      <w:tblPr>
        <w:tblStyle w:val="TableGrid"/>
        <w:tblW w:type="dxa" w:w="9360"/>
        <w:tblLayout w:type="fixed"/>
        <w:tblLook w:firstColumn="1" w:firstRow="1" w:lastColumn="0" w:lastRow="0" w:noHBand="0" w:noVBand="1" w:val="04A0"/>
        <w:tblInd w:w="120" w:type="dxa"/>
      </w:tblPr>
      <w:tblGrid>
        <w:gridCol w:w="1139"/>
        <w:gridCol w:w="2278"/>
        <w:gridCol w:w="4476"/>
        <w:gridCol w:w="1467"/>
      </w:tblGrid>
      <w:tr>
        <w:trPr>
          <w:tblHeader w:val="true"/>
        </w:trPr>
        <w:tc>
          <w:tcPr>
            <w:tcW w:type="dxa" w:w="113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Test ID</w:t>
            </w:r>
          </w:p>
        </w:tc>
        <w:tc>
          <w:tcPr>
            <w:tcW w:type="dxa" w:w="227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Process</w:t>
            </w:r>
          </w:p>
        </w:tc>
        <w:tc>
          <w:tcPr>
            <w:tcW w:type="dxa" w:w="447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End-to-end scope</w:t>
            </w:r>
          </w:p>
        </w:tc>
        <w:tc>
          <w:tcPr>
            <w:tcW w:type="dxa" w:w="146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Result</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PQ-001</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Raw material workflow</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SAP request → receive → direct balance capture → calculation → review/approve → SAP status</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PQ-002</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Finished-product assay</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LES + CDS approved result/link + calculation + signatures</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PQ-003</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Microbiology EM workflow</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Location schedule → incubation/count → alert handling → approval</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PQ-004</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Stability workflow</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Pull schedule, overdue dashboard, test completion and report</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 after DEF-005</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PQ-005</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OOS/OOT workflow</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Limit excursion → eQMS case/link → hold → disposition</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PQ-006</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Rejected/cancelled sample</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Condition exception, reason, re-sample and retained history</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PQ-007</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outage contingency</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Controlled paper/manual entry, verification and reconciliation</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PQ-008</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Audit-trail review</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Reviewer filters relevant events, documents review and approves</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PQ-009</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Report/SAP completion</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Controlled report and acknowledged SAP status/result</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PQ-010</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Role-based scenario</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Analyst/reviewer/supervisor/QA activities and negative permissions</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PQ-011</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retrieval</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Search and retrieve migrated/archive record, attachment and audit trail</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r>
        <w:tc>
          <w:tcPr>
            <w:tcW w:type="dxa" w:w="113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PQ-012</w:t>
            </w:r>
          </w:p>
        </w:tc>
        <w:tc>
          <w:tcPr>
            <w:tcW w:type="dxa" w:w="22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Controlled administration</w:t>
            </w:r>
          </w:p>
        </w:tc>
        <w:tc>
          <w:tcPr>
            <w:tcW w:type="dxa" w:w="44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role/configuration change, evidence and rollback</w:t>
            </w:r>
          </w:p>
        </w:tc>
        <w:tc>
          <w:tcPr>
            <w:tcW w:type="dxa" w:w="146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Pass</w:t>
            </w:r>
          </w:p>
        </w:tc>
      </w:tr>
    </w:tbl>
    <w:p>
      <w:pPr>
        <w:spacing w:after="80"/>
      </w:pPr>
    </w:p>
    <w:p>
      <w:pPr>
        <w:pStyle w:val="Heading1"/>
      </w:pPr>
      <w:r>
        <w:t>3. Business acceptance observations</w:t>
      </w:r>
    </w:p>
    <w:p>
      <w:pPr>
        <w:spacing w:after="120" w:line="300" w:lineRule="auto"/>
      </w:pPr>
      <w:r>
        <w:rPr>
          <w:rFonts w:ascii="Calibri" w:hAnsi="Calibri"/>
          <w:b w:val="0"/>
          <w:i w:val="0"/>
          <w:color w:val="000000"/>
          <w:sz w:val="22"/>
        </w:rPr>
        <w:t>Users confirmed the workflow was understandable, source records were accessible, exceptions were visible and reports supported review. DEF-005 was a low dashboard sort issue and was corrected/retested without impact on record correctness.</w:t>
      </w:r>
    </w:p>
    <w:p>
      <w:pPr>
        <w:pStyle w:val="Heading1"/>
      </w:pPr>
      <w:r>
        <w:t>4. Conclusion</w:t>
      </w:r>
    </w:p>
    <w:p>
      <w:pPr>
        <w:spacing w:after="120" w:line="300" w:lineRule="auto"/>
      </w:pPr>
      <w:r>
        <w:rPr>
          <w:rFonts w:ascii="Calibri" w:hAnsi="Calibri"/>
          <w:b w:val="0"/>
          <w:i w:val="0"/>
          <w:color w:val="000000"/>
          <w:sz w:val="22"/>
        </w:rPr>
        <w:t>All 12 PQ/UAT scenarios passed. Business Process Owner accepts the system for the approved intended use, subject to completion of release prerequisites and VSR approval.</w:t>
      </w:r>
    </w:p>
    <w:p>
      <w:pPr>
        <w:spacing w:after="120" w:line="300" w:lineRule="auto"/>
      </w:pPr>
      <w:r>
        <w:rPr>
          <w:rFonts w:ascii="Calibri" w:hAnsi="Calibri"/>
          <w:b w:val="0"/>
          <w:i w:val="0"/>
          <w:color w:val="000000"/>
          <w:sz w:val="22"/>
        </w:rPr>
        <w:t>PQ/UAT acceptance is based on representative users performing representative business processes with approved procedures and realistic controlled data. Acceptance does not authorise production use until migration, training, support readiness, VSR and go-live approval are complete. Usability observations shall be dispositioned when they could affect data entry, review effectiveness or exception handling.</w:t>
      </w:r>
    </w:p>
    <w:tbl>
      <w:tblPr>
        <w:tblStyle w:val="TableGrid"/>
        <w:tblW w:type="dxa" w:w="9360"/>
        <w:tblLayout w:type="fixed"/>
        <w:tblLook w:firstColumn="1" w:firstRow="1" w:lastColumn="0" w:lastRow="0" w:noHBand="0" w:noVBand="1" w:val="04A0"/>
        <w:tblInd w:w="120" w:type="dxa"/>
      </w:tblPr>
      <w:tblGrid>
        <w:gridCol w:w="3824"/>
        <w:gridCol w:w="5536"/>
      </w:tblGrid>
      <w:tr>
        <w:trPr>
          <w:tblHeader w:val="true"/>
        </w:trPr>
        <w:tc>
          <w:tcPr>
            <w:tcW w:type="dxa" w:w="38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PQ acceptance focus</w:t>
            </w:r>
          </w:p>
        </w:tc>
        <w:tc>
          <w:tcPr>
            <w:tcW w:type="dxa" w:w="553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Evidence expectation</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Representative role</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Qualified analyst/reviewer/supervisor/QA user executes assigned scenario</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End-to-end process</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Sample, execution, review, approval, interface and report flow are covered</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Procedure fit</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can follow draft/final SOP without undocumented workaround</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Exception visibility</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OOS/OOT, retest, manual entry or interface issue is visible and controlled</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acceptance</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BPO records acceptance and any residual open item</w:t>
            </w:r>
          </w:p>
        </w:tc>
      </w:tr>
    </w:tbl>
    <w:p>
      <w:pPr>
        <w:spacing w:after="80"/>
      </w:pP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QCL-2026-BPD-001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Business Process Description](008_Business_Process_Description.md)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QCL-2026-URS-001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Requirements Specification](022_User_Requirements_Specification.md)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Test Scripts and Test Data Catalogue](047_Master_Test_Scripts_and_Test_Data_Catalogue.md)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QCL-2026-OQ-001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[Operational Qualification Protocol and Report](049_Operational_Qualification_Protocol_and_Report.md)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QCL-2026-IFT-001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Test Protocol and Report](051_Interface_Test_Protocol_and_Report.md)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QCL-2026-DMT-001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Migration Test and Reconciliation Report](052_Data_Migration_Test_and_Reconciliation_Report.md)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QCL-2026-SEC-001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[Security, Access and Segregation of Duties Test Report](053_Security_Access_and_Segregation_of_Duties_Test.md)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Challenge Test Report](054_Audit_Trail_Challenge_Test_Report.md)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QCL-2026-EST-001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 Test Report](055_Electronic_Signature_Test_Report.md)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QCL-2026-RPT-001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[Report, Print and Export Verification Report](059_Report_Print_and_Export_Verification_Report.md)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SOP-QC-LIMS-001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User Operation SOP](066_User_Operation_SOP.md)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QCL-2026-TRN-001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[Training Plan, Materials and Training Record](071_Training_Plan_Materials_and_Training_Record.md)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QCL-2026-TSR-001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Summary Report](063_Test_Summary_Report.md)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QCL-2026-RTM-002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[Final Requirements Traceability Matrix](064_Final_Requirements_Traceability_Matrix.md)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Summary Report](065_Validation_Summary_Report.md)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QCL-2026-PRC-001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[Production Readiness Checklist](074_Production_Readiness_Checklist.md)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QCL-2026-GLA-001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[Go-Live and Production Release Approval](075_Go_Live_and_Production_Release_Approval.md)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88"/>
        <w:gridCol w:w="2782"/>
        <w:gridCol w:w="3290"/>
      </w:tblGrid>
      <w:tr>
        <w:trPr>
          <w:tblHeader w:val="true"/>
        </w:trPr>
        <w:tc>
          <w:tcPr>
            <w:tcW w:type="dxa" w:w="328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78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9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Lead</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Process Owner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2027-04-30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QCL-2026-PQ-001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QCL-2026-PQ-001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Qualification and User Acceptance Test Report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