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Security, Access and Segregation of Duties Test Report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QCL-2026-SEC-001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Verification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2027-04-30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QCL-2026-SEC-001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Verification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2027-04-30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Objective</w:t>
      </w:r>
    </w:p>
    <w:p>
      <w:pPr>
        <w:spacing w:after="120" w:line="300" w:lineRule="auto"/>
      </w:pPr>
      <w:r>
        <w:rPr>
          <w:rFonts w:ascii="Calibri" w:hAnsi="Calibri"/>
          <w:b w:val="0"/>
          <w:i w:val="0"/>
          <w:color w:val="000000"/>
          <w:sz w:val="22"/>
        </w:rPr>
        <w:t>Verify authentication, least privilege, account lifecycle, segregation of duties, privileged/vendor access and security-event evidence.</w:t>
      </w:r>
    </w:p>
    <w:p>
      <w:pPr>
        <w:pStyle w:val="Heading1"/>
      </w:pPr>
      <w:r>
        <w:t>2. Results</w:t>
      </w:r>
    </w:p>
    <w:tbl>
      <w:tblPr>
        <w:tblStyle w:val="TableGrid"/>
        <w:tblW w:type="dxa" w:w="9360"/>
        <w:tblLayout w:type="fixed"/>
        <w:tblLook w:firstColumn="1" w:firstRow="1" w:lastColumn="0" w:lastRow="0" w:noHBand="0" w:noVBand="1" w:val="04A0"/>
        <w:tblInd w:w="120" w:type="dxa"/>
      </w:tblPr>
      <w:tblGrid>
        <w:gridCol w:w="720"/>
        <w:gridCol w:w="2228"/>
        <w:gridCol w:w="3502"/>
        <w:gridCol w:w="2910"/>
      </w:tblGrid>
      <w:tr>
        <w:trPr>
          <w:tblHeader w:val="true"/>
        </w:trPr>
        <w:tc>
          <w:tcPr>
            <w:tcW w:type="dxa" w:w="7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Test</w:t>
            </w:r>
          </w:p>
        </w:tc>
        <w:tc>
          <w:tcPr>
            <w:tcW w:type="dxa" w:w="222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Control</w:t>
            </w:r>
          </w:p>
        </w:tc>
        <w:tc>
          <w:tcPr>
            <w:tcW w:type="dxa" w:w="350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Scope</w:t>
            </w:r>
          </w:p>
        </w:tc>
        <w:tc>
          <w:tcPr>
            <w:tcW w:type="dxa" w:w="2910"/>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Result</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SEC-001</w:t>
            </w:r>
          </w:p>
        </w:tc>
        <w:tc>
          <w:tcPr>
            <w:tcW w:type="dxa" w:w="222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 matrix positive/negative tests</w:t>
            </w:r>
          </w:p>
        </w:tc>
        <w:tc>
          <w:tcPr>
            <w:tcW w:type="dxa" w:w="35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180 permission checks</w:t>
            </w:r>
          </w:p>
        </w:tc>
        <w:tc>
          <w:tcPr>
            <w:tcW w:type="dxa" w:w="291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180 passed</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SEC-002</w:t>
            </w:r>
          </w:p>
        </w:tc>
        <w:tc>
          <w:tcPr>
            <w:tcW w:type="dxa" w:w="222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SoD conflicts</w:t>
            </w:r>
          </w:p>
        </w:tc>
        <w:tc>
          <w:tcPr>
            <w:tcW w:type="dxa" w:w="35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Admin + QC approval; analyst + reviewer; creator + master-data approval</w:t>
            </w:r>
          </w:p>
        </w:tc>
        <w:tc>
          <w:tcPr>
            <w:tcW w:type="dxa" w:w="291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All prohibited combinations blocked or detected</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SEC-003</w:t>
            </w:r>
          </w:p>
        </w:tc>
        <w:tc>
          <w:tcPr>
            <w:tcW w:type="dxa" w:w="222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Account lifecycle</w:t>
            </w:r>
          </w:p>
        </w:tc>
        <w:tc>
          <w:tcPr>
            <w:tcW w:type="dxa" w:w="35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Create/change/disable and evidence</w:t>
            </w:r>
          </w:p>
        </w:tc>
        <w:tc>
          <w:tcPr>
            <w:tcW w:type="dxa" w:w="291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SEC-004</w:t>
            </w:r>
          </w:p>
        </w:tc>
        <w:tc>
          <w:tcPr>
            <w:tcW w:type="dxa" w:w="222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Failed login/security reports</w:t>
            </w:r>
          </w:p>
        </w:tc>
        <w:tc>
          <w:tcPr>
            <w:tcW w:type="dxa" w:w="35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Lockout and event details</w:t>
            </w:r>
          </w:p>
        </w:tc>
        <w:tc>
          <w:tcPr>
            <w:tcW w:type="dxa" w:w="291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SEC-005</w:t>
            </w:r>
          </w:p>
        </w:tc>
        <w:tc>
          <w:tcPr>
            <w:tcW w:type="dxa" w:w="222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Service accounts</w:t>
            </w:r>
          </w:p>
        </w:tc>
        <w:tc>
          <w:tcPr>
            <w:tcW w:type="dxa" w:w="35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Non-interactive and least privilege</w:t>
            </w:r>
          </w:p>
        </w:tc>
        <w:tc>
          <w:tcPr>
            <w:tcW w:type="dxa" w:w="291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OQ-SEC-003</w:t>
            </w:r>
          </w:p>
        </w:tc>
        <w:tc>
          <w:tcPr>
            <w:tcW w:type="dxa" w:w="222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Session lock</w:t>
            </w:r>
          </w:p>
        </w:tc>
        <w:tc>
          <w:tcPr>
            <w:tcW w:type="dxa" w:w="35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15 minutes</w:t>
            </w:r>
          </w:p>
        </w:tc>
        <w:tc>
          <w:tcPr>
            <w:tcW w:type="dxa" w:w="291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 at 15:00 ±5 sec</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OQ-SEC-004</w:t>
            </w:r>
          </w:p>
        </w:tc>
        <w:tc>
          <w:tcPr>
            <w:tcW w:type="dxa" w:w="222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Vendor remote access</w:t>
            </w:r>
          </w:p>
        </w:tc>
        <w:tc>
          <w:tcPr>
            <w:tcW w:type="dxa" w:w="35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Ticket, MFA, 8-hour window, session log</w:t>
            </w:r>
          </w:p>
        </w:tc>
        <w:tc>
          <w:tcPr>
            <w:tcW w:type="dxa" w:w="291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bl>
    <w:p>
      <w:pPr>
        <w:spacing w:after="80"/>
      </w:pPr>
    </w:p>
    <w:p>
      <w:pPr>
        <w:pStyle w:val="Heading1"/>
      </w:pPr>
      <w:r>
        <w:t>3. Notable evidence</w:t>
      </w:r>
    </w:p>
    <w:p>
      <w:pPr>
        <w:spacing w:after="120" w:line="300" w:lineRule="auto"/>
      </w:pPr>
      <w:r>
        <w:rPr>
          <w:rFonts w:ascii="Calibri" w:hAnsi="Calibri"/>
          <w:b w:val="0"/>
          <w:i w:val="0"/>
          <w:color w:val="000000"/>
          <w:sz w:val="22"/>
        </w:rPr>
        <w:t>No shared interactive account was enabled. Two break-glass accounts were sealed, monitored and excluded from routine role groups. Production administrators had no QC result-approval permission. Vendor access automatically disabled at the approved end time.</w:t>
      </w:r>
    </w:p>
    <w:p>
      <w:pPr>
        <w:pStyle w:val="Heading1"/>
      </w:pPr>
      <w:r>
        <w:t>4. Conclusion</w:t>
      </w:r>
    </w:p>
    <w:p>
      <w:pPr>
        <w:spacing w:after="120" w:line="300" w:lineRule="auto"/>
      </w:pPr>
      <w:r>
        <w:rPr>
          <w:rFonts w:ascii="Calibri" w:hAnsi="Calibri"/>
          <w:b w:val="0"/>
          <w:i w:val="0"/>
          <w:color w:val="000000"/>
          <w:sz w:val="22"/>
        </w:rPr>
        <w:t>The approved access model satisfies the security and SoD requirements. Routine operation requires the access-request and review processes in Documents 078–080.</w:t>
      </w:r>
    </w:p>
    <w:p>
      <w:pPr>
        <w:spacing w:after="120" w:line="300" w:lineRule="auto"/>
      </w:pPr>
      <w:r>
        <w:rPr>
          <w:rFonts w:ascii="Calibri" w:hAnsi="Calibri"/>
          <w:b w:val="0"/>
          <w:i w:val="0"/>
          <w:color w:val="000000"/>
          <w:sz w:val="22"/>
        </w:rPr>
        <w:t>Security testing shall include negative evidence, not only successful access. The test package shall demonstrate that users cannot perform prohibited actions, excessive privilege is blocked, administrator roles cannot approve routine QC results, vendor access is time limited, and disabled users/service accounts behave as expected.</w:t>
      </w:r>
    </w:p>
    <w:tbl>
      <w:tblPr>
        <w:tblStyle w:val="TableGrid"/>
        <w:tblW w:type="dxa" w:w="9360"/>
        <w:tblLayout w:type="fixed"/>
        <w:tblLook w:firstColumn="1" w:firstRow="1" w:lastColumn="0" w:lastRow="0" w:noHBand="0" w:noVBand="1" w:val="04A0"/>
        <w:tblInd w:w="120" w:type="dxa"/>
      </w:tblPr>
      <w:tblGrid>
        <w:gridCol w:w="3824"/>
        <w:gridCol w:w="5536"/>
      </w:tblGrid>
      <w:tr>
        <w:trPr>
          <w:tblHeader w:val="true"/>
        </w:trPr>
        <w:tc>
          <w:tcPr>
            <w:tcW w:type="dxa" w:w="38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Security test focus</w:t>
            </w:r>
          </w:p>
        </w:tc>
        <w:tc>
          <w:tcPr>
            <w:tcW w:type="dxa" w:w="553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Acceptance expectation</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Positive role access</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 can perform authorised tasks needed for intended use</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Negative role access</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 is blocked from prohibited workflow/configuration actions</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Segregation of duties</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Creator/executor/reviewer/approver conflicts are prevented or detected</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Privileged access</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Admin/vendor/break-glass use is logged and reviewable</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Leaver/disabled user</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Account cannot authenticate or sign after disablement</w:t>
            </w:r>
          </w:p>
        </w:tc>
      </w:tr>
    </w:tbl>
    <w:p>
      <w:pPr>
        <w:spacing w:after="80"/>
      </w:pPr>
    </w:p>
    <w:p>
      <w:pPr>
        <w:pStyle w:val="Heading1"/>
      </w:pPr>
      <w:r>
        <w:t>5.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QCL-2026-CYB-001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[Cybersecurity and Privacy Impact Assessment](014_Cybersecurity_and_Privacy_Impact_Assessment.md)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 Specification](025_Configuration_Specification.md)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QCL-2026-RAC-001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 and Access Control Matrix](031_Role_and_Access_Control_Matrix.md)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[Functional Risk Assessment](038_Functional_Risk_Assessment.md)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QCL-2026-VTP-001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Test Plan and Strategy](046_Validation_Test_Plan_and_Strategy.md)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QCL-2026-MTS-001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[Master Test Scripts and Test Data Catalogue](047_Master_Test_Scripts_and_Test_Data_Catalogue.md)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QCL-2026-TSR-001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[Test Summary Report](063_Test_Summary_Report.md)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QCL-2026-RTM-002</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[Final Requirements Traceability Matrix](064_Final_Requirements_Traceability_Matrix.md)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QCL-2026-VSR-001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Summary Report](065_Validation_Summary_Report.md)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SOP-IT-LIMS-001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System Administration SOP](067_System_Administration_SOP.md)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QCL-2027-UAR-001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 Access Request and Approval Records](078_User_Access_Request_and_Approval_Records.md)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QCL-2027-UAR-002</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[Periodic User Access Review Report](079_Periodic_User_Access_Review_Report.md)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QCL-2027-SOD-001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[Segregation of Duties and Privileged Access Review](080_Segregation_of_Duties_and_Privileged_Access_Review.md)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QCL-2028-CVM-001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[Cybersecurity Vulnerability and Monitoring Report](094_Cybersecurity_Vulnerability_and_Monitoring_Report.md)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288"/>
        <w:gridCol w:w="2782"/>
        <w:gridCol w:w="3290"/>
      </w:tblGrid>
      <w:tr>
        <w:trPr>
          <w:tblHeader w:val="true"/>
        </w:trPr>
        <w:tc>
          <w:tcPr>
            <w:tcW w:type="dxa" w:w="328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78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29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Test Lead</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Process Owner</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2027-04-30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QCL-2026-SEC-001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QCL-2026-SEC-001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Access and Segregation of Duties Test Report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