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595959"/>
          <w:sz w:val="19"/>
        </w:rPr>
        <w:t>GMP CSV Controlled Document</w:t>
      </w:r>
    </w:p>
    <w:p>
      <w:pPr>
        <w:spacing w:after="80"/>
      </w:pPr>
      <w:r>
        <w:rPr>
          <w:rFonts w:ascii="Calibri" w:hAnsi="Calibri"/>
          <w:b/>
          <w:color w:val="0B2545"/>
          <w:sz w:val="44"/>
        </w:rPr>
        <w:t>Backup and Restore Test Report</w:t>
      </w:r>
    </w:p>
    <w:p>
      <w:pPr>
        <w:spacing w:after="200"/>
      </w:pPr>
      <w:r>
        <w:rPr>
          <w:rFonts w:ascii="Calibri" w:hAnsi="Calibri"/>
          <w:color w:val="595959"/>
          <w:sz w:val="23"/>
        </w:rPr>
        <w:t>QCLabOne 2.0 QC Laboratory Digital Platform Replacement Project</w:t>
      </w:r>
    </w:p>
    <w:tbl>
      <w:tblPr>
        <w:tblStyle w:val="TableGrid"/>
        <w:tblW w:type="dxa" w:w="9360"/>
        <w:tblLayout w:type="fixed"/>
        <w:tblLook w:firstColumn="1" w:firstRow="1" w:lastColumn="0" w:lastRow="0" w:noHBand="0" w:noVBand="1" w:val="04A0"/>
        <w:tblInd w:w="120" w:type="dxa"/>
      </w:tblPr>
      <w:tblGrid>
        <w:gridCol w:w="2700"/>
        <w:gridCol w:w="6660"/>
      </w:tblGrid>
      <w:tr>
        <w:trPr>
          <w:tblHeader w:val="true"/>
        </w:trPr>
        <w:tc>
          <w:tcPr>
            <w:tcW w:type="dxa" w:w="270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Control Field</w:t>
            </w:r>
          </w:p>
        </w:tc>
        <w:tc>
          <w:tcPr>
            <w:tcW w:type="dxa" w:w="666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Value</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Document number</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QCL-2026-BRT-001</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System</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QCLabOne 2.0 LIMS/LES</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Lifecycle phase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Verification</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Version</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1.0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Effective/record date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2027-04-30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Status</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Approved in fictional case</w:t>
            </w:r>
          </w:p>
        </w:tc>
      </w:tr>
    </w:tbl>
    <w:p>
      <w:pPr>
        <w:spacing w:after="80"/>
      </w:pPr>
    </w:p>
    <w:tbl>
      <w:tblPr>
        <w:tblStyle w:val="TableGrid"/>
        <w:tblW w:type="dxa" w:w="9360"/>
        <w:tblLayout w:type="fixed"/>
        <w:tblLook w:firstColumn="1" w:firstRow="1" w:lastColumn="0" w:lastRow="0" w:noHBand="0" w:noVBand="1" w:val="04A0"/>
        <w:tblInd w:w="120" w:type="dxa"/>
      </w:tblPr>
      <w:tblGrid>
        <w:gridCol w:w="9360"/>
      </w:tblGrid>
      <w:tr>
        <w:tc>
          <w:tcPr>
            <w:tcW w:type="dxa" w:w="9360"/>
            <w:shd w:fill="F7F9FC"/>
            <w:vAlign w:val="center"/>
            <w:tcMar>
              <w:top w:w="80" w:type="dxa"/>
              <w:bottom w:w="80" w:type="dxa"/>
              <w:start w:w="120" w:type="dxa"/>
              <w:end w:w="120" w:type="dxa"/>
            </w:tcMar>
          </w:tcPr>
          <w:p>
            <w:pPr>
              <w:spacing w:after="0" w:line="276" w:lineRule="auto"/>
            </w:pPr>
            <w:r/>
            <w:r>
              <w:rPr>
                <w:rFonts w:ascii="Calibri" w:hAnsi="Calibri"/>
                <w:b w:val="0"/>
                <w:color w:val="595959"/>
                <w:sz w:val="19"/>
              </w:rPr>
              <w:t>Use notice: This Markdown file is a fully populated fictional CSV training case. It is not an executed GMP record and does not replace company procedures, approved signatures, supplier evidence, or site-specific risk decisions.</w:t>
            </w:r>
          </w:p>
        </w:tc>
      </w:tr>
    </w:tbl>
    <w:p>
      <w:pPr>
        <w:spacing w:after="80"/>
      </w:pPr>
    </w:p>
    <w:p>
      <w:pPr>
        <w:pStyle w:val="Heading1"/>
      </w:pPr>
      <w:r>
        <w:t>Document control</w:t>
      </w:r>
    </w:p>
    <w:tbl>
      <w:tblPr>
        <w:tblStyle w:val="TableGrid"/>
        <w:tblW w:type="dxa" w:w="9360"/>
        <w:tblLayout w:type="fixed"/>
        <w:tblLook w:firstColumn="1" w:firstRow="1" w:lastColumn="0" w:lastRow="0" w:noHBand="0" w:noVBand="1" w:val="04A0"/>
        <w:tblInd w:w="120" w:type="dxa"/>
      </w:tblPr>
      <w:tblGrid>
        <w:gridCol w:w="2586"/>
        <w:gridCol w:w="6774"/>
      </w:tblGrid>
      <w:tr>
        <w:trPr>
          <w:tblHeader w:val="true"/>
        </w:trPr>
        <w:tc>
          <w:tcPr>
            <w:tcW w:type="dxa" w:w="258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Field</w:t>
            </w:r>
          </w:p>
        </w:tc>
        <w:tc>
          <w:tcPr>
            <w:tcW w:type="dxa" w:w="677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Value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Document number</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QCL-2026-BRT-001</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Company</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NovaSterile Pharma Co., Ltd.</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Suzhou Sterile Products Manufacturing Site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Project</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QC Laboratory Digital Platform Replacement Project</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LIMS/LES</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Lifecycle phase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Verification</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Version</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Effective/record date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2027-04-30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Case status</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Governing references</w:t>
      </w:r>
    </w:p>
    <w:p>
      <w:pPr>
        <w:pStyle w:val="ListBullet"/>
        <w:spacing w:after="80" w:line="300" w:lineRule="auto"/>
      </w:pPr>
      <w:r>
        <w:rPr>
          <w:rFonts w:ascii="Calibri" w:hAnsi="Calibri"/>
          <w:color w:val="000000"/>
          <w:sz w:val="22"/>
        </w:rPr>
        <w:t>China GMP (2010 Revision), Appendix: Computerised Systems (effective 1 December 2015)</w:t>
      </w:r>
    </w:p>
    <w:p>
      <w:pPr>
        <w:pStyle w:val="ListBullet"/>
        <w:spacing w:after="80" w:line="300" w:lineRule="auto"/>
      </w:pPr>
      <w:r>
        <w:rPr>
          <w:rFonts w:ascii="Calibri" w:hAnsi="Calibri"/>
          <w:color w:val="000000"/>
          <w:sz w:val="22"/>
        </w:rPr>
        <w:t>China GMP (2010 Revision), Appendix: Qualification and Validation (effective 1 December 2015)</w:t>
      </w:r>
    </w:p>
    <w:p>
      <w:pPr>
        <w:pStyle w:val="ListBullet"/>
        <w:spacing w:after="80" w:line="300" w:lineRule="auto"/>
      </w:pPr>
      <w:r>
        <w:rPr>
          <w:rFonts w:ascii="Calibri" w:hAnsi="Calibri"/>
          <w:color w:val="000000"/>
          <w:sz w:val="22"/>
        </w:rPr>
        <w:t>EU GMP Annex 11: Computerised Systems (2011)</w:t>
      </w:r>
    </w:p>
    <w:p>
      <w:pPr>
        <w:pStyle w:val="ListBullet"/>
        <w:spacing w:after="80" w:line="300" w:lineRule="auto"/>
      </w:pPr>
      <w:r>
        <w:rPr>
          <w:rFonts w:ascii="Calibri" w:hAnsi="Calibri"/>
          <w:color w:val="000000"/>
          <w:sz w:val="22"/>
        </w:rPr>
        <w:t>EU GMP Annex 15: Qualification and Validation (2015)</w:t>
      </w:r>
    </w:p>
    <w:p>
      <w:pPr>
        <w:pStyle w:val="ListBullet"/>
        <w:spacing w:after="80" w:line="300" w:lineRule="auto"/>
      </w:pPr>
      <w:r>
        <w:rPr>
          <w:rFonts w:ascii="Calibri" w:hAnsi="Calibri"/>
          <w:color w:val="000000"/>
          <w:sz w:val="22"/>
        </w:rPr>
        <w:t>21 CFR Part 11: Electronic Records; Electronic Signatures</w:t>
      </w:r>
    </w:p>
    <w:p>
      <w:pPr>
        <w:pStyle w:val="ListBullet"/>
        <w:spacing w:after="80" w:line="300" w:lineRule="auto"/>
      </w:pPr>
      <w:r>
        <w:rPr>
          <w:rFonts w:ascii="Calibri" w:hAnsi="Calibri"/>
          <w:color w:val="000000"/>
          <w:sz w:val="22"/>
        </w:rPr>
        <w:t>FDA Guidance: Part 11, Electronic Records; Electronic Signatures — Scope and Application</w:t>
      </w:r>
    </w:p>
    <w:p>
      <w:pPr>
        <w:pStyle w:val="ListBullet"/>
        <w:spacing w:after="80" w:line="300" w:lineRule="auto"/>
      </w:pPr>
      <w:r>
        <w:rPr>
          <w:rFonts w:ascii="Calibri" w:hAnsi="Calibri"/>
          <w:color w:val="000000"/>
          <w:sz w:val="22"/>
        </w:rPr>
        <w:t>PIC/S PI 041-1: Good Practices for Data Management and Integrity in Regulated GMP/GDP Environments (2021)</w:t>
      </w:r>
    </w:p>
    <w:p>
      <w:pPr>
        <w:pStyle w:val="ListBullet"/>
        <w:spacing w:after="80" w:line="300" w:lineRule="auto"/>
      </w:pPr>
      <w:r>
        <w:rPr>
          <w:rFonts w:ascii="Calibri" w:hAnsi="Calibri"/>
          <w:color w:val="000000"/>
          <w:sz w:val="22"/>
        </w:rPr>
        <w:t>ISPE GAMP 5, Second Edition (2022), used as non-binding industry guidance</w:t>
      </w:r>
    </w:p>
    <w:p>
      <w:pPr>
        <w:pStyle w:val="Heading1"/>
      </w:pPr>
      <w:r>
        <w:t>1. Objective</w:t>
      </w:r>
    </w:p>
    <w:p>
      <w:pPr>
        <w:spacing w:after="120" w:line="300" w:lineRule="auto"/>
      </w:pPr>
      <w:r>
        <w:rPr>
          <w:rFonts w:ascii="Calibri" w:hAnsi="Calibri"/>
          <w:b w:val="0"/>
          <w:i w:val="0"/>
          <w:color w:val="000000"/>
          <w:sz w:val="22"/>
        </w:rPr>
        <w:t>Verify that backups are created, protected, monitored and capable of restoring complete regulated records.</w:t>
      </w:r>
    </w:p>
    <w:p>
      <w:pPr>
        <w:pStyle w:val="Heading1"/>
      </w:pPr>
      <w:r>
        <w:t>2. Results</w:t>
      </w:r>
    </w:p>
    <w:tbl>
      <w:tblPr>
        <w:tblStyle w:val="TableGrid"/>
        <w:tblW w:type="dxa" w:w="9360"/>
        <w:tblLayout w:type="fixed"/>
        <w:tblLook w:firstColumn="1" w:firstRow="1" w:lastColumn="0" w:lastRow="0" w:noHBand="0" w:noVBand="1" w:val="04A0"/>
        <w:tblInd w:w="120" w:type="dxa"/>
      </w:tblPr>
      <w:tblGrid>
        <w:gridCol w:w="726"/>
        <w:gridCol w:w="2362"/>
        <w:gridCol w:w="4998"/>
        <w:gridCol w:w="1274"/>
      </w:tblGrid>
      <w:tr>
        <w:trPr>
          <w:tblHeader w:val="true"/>
        </w:trPr>
        <w:tc>
          <w:tcPr>
            <w:tcW w:type="dxa" w:w="72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Test</w:t>
            </w:r>
          </w:p>
        </w:tc>
        <w:tc>
          <w:tcPr>
            <w:tcW w:type="dxa" w:w="236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Scenario</w:t>
            </w:r>
          </w:p>
        </w:tc>
        <w:tc>
          <w:tcPr>
            <w:tcW w:type="dxa" w:w="499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Actual result</w:t>
            </w:r>
          </w:p>
        </w:tc>
        <w:tc>
          <w:tcPr>
            <w:tcW w:type="dxa" w:w="127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Outcome</w:t>
            </w:r>
          </w:p>
        </w:tc>
      </w:tr>
      <w:tr>
        <w:tc>
          <w:tcPr>
            <w:tcW w:type="dxa" w:w="72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BRT-001</w:t>
            </w:r>
          </w:p>
        </w:tc>
        <w:tc>
          <w:tcPr>
            <w:tcW w:type="dxa" w:w="236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Full backup</w:t>
            </w:r>
          </w:p>
        </w:tc>
        <w:tc>
          <w:tcPr>
            <w:tcW w:type="dxa" w:w="49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Database, attachments and configuration backup completed; logs available</w:t>
            </w:r>
          </w:p>
        </w:tc>
        <w:tc>
          <w:tcPr>
            <w:tcW w:type="dxa" w:w="12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Pass</w:t>
            </w:r>
          </w:p>
        </w:tc>
      </w:tr>
      <w:tr>
        <w:tc>
          <w:tcPr>
            <w:tcW w:type="dxa" w:w="72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BRT-002</w:t>
            </w:r>
          </w:p>
        </w:tc>
        <w:tc>
          <w:tcPr>
            <w:tcW w:type="dxa" w:w="236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Point-in-time restore</w:t>
            </w:r>
          </w:p>
        </w:tc>
        <w:tc>
          <w:tcPr>
            <w:tcW w:type="dxa" w:w="49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Restored to 2027-03-18 14:30:00 CST</w:t>
            </w:r>
          </w:p>
        </w:tc>
        <w:tc>
          <w:tcPr>
            <w:tcW w:type="dxa" w:w="12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Pass</w:t>
            </w:r>
          </w:p>
        </w:tc>
      </w:tr>
      <w:tr>
        <w:tc>
          <w:tcPr>
            <w:tcW w:type="dxa" w:w="72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BRT-003</w:t>
            </w:r>
          </w:p>
        </w:tc>
        <w:tc>
          <w:tcPr>
            <w:tcW w:type="dxa" w:w="236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 record components</w:t>
            </w:r>
          </w:p>
        </w:tc>
        <w:tc>
          <w:tcPr>
            <w:tcW w:type="dxa" w:w="49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100 selected records, attachments, signatures and audit trails recovered</w:t>
            </w:r>
          </w:p>
        </w:tc>
        <w:tc>
          <w:tcPr>
            <w:tcW w:type="dxa" w:w="12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Pass</w:t>
            </w:r>
          </w:p>
        </w:tc>
      </w:tr>
      <w:tr>
        <w:tc>
          <w:tcPr>
            <w:tcW w:type="dxa" w:w="72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BRT-004</w:t>
            </w:r>
          </w:p>
        </w:tc>
        <w:tc>
          <w:tcPr>
            <w:tcW w:type="dxa" w:w="236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Reconciliation/access</w:t>
            </w:r>
          </w:p>
        </w:tc>
        <w:tc>
          <w:tcPr>
            <w:tcW w:type="dxa" w:w="49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Counts/checksums matched; restored environment access restricted</w:t>
            </w:r>
          </w:p>
        </w:tc>
        <w:tc>
          <w:tcPr>
            <w:tcW w:type="dxa" w:w="12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Pass</w:t>
            </w:r>
          </w:p>
        </w:tc>
      </w:tr>
    </w:tbl>
    <w:p>
      <w:pPr>
        <w:spacing w:after="80"/>
      </w:pPr>
    </w:p>
    <w:p>
      <w:pPr>
        <w:pStyle w:val="Heading1"/>
      </w:pPr>
      <w:r>
        <w:t>3. Recovery metrics</w:t>
      </w:r>
    </w:p>
    <w:p>
      <w:pPr>
        <w:spacing w:after="120" w:line="300" w:lineRule="auto"/>
      </w:pPr>
      <w:r>
        <w:rPr>
          <w:rFonts w:ascii="Calibri" w:hAnsi="Calibri"/>
          <w:b w:val="0"/>
          <w:i w:val="0"/>
          <w:color w:val="000000"/>
          <w:sz w:val="22"/>
        </w:rPr>
        <w:t>Database restore completed in 2 h 18 min; application validation and reconciliation completed in an additional 1 h 12 min. The selected recovery point was within the 15-minute RPO.</w:t>
      </w:r>
    </w:p>
    <w:p>
      <w:pPr>
        <w:pStyle w:val="Heading1"/>
      </w:pPr>
      <w:r>
        <w:t>4. Conclusion</w:t>
      </w:r>
    </w:p>
    <w:p>
      <w:pPr>
        <w:spacing w:after="120" w:line="300" w:lineRule="auto"/>
      </w:pPr>
      <w:r>
        <w:rPr>
          <w:rFonts w:ascii="Calibri" w:hAnsi="Calibri"/>
          <w:b w:val="0"/>
          <w:i w:val="0"/>
          <w:color w:val="000000"/>
          <w:sz w:val="22"/>
        </w:rPr>
        <w:t>Backup and restore controls meet approved requirements. Routine monitoring and annual restore tests are required in operation.</w:t>
      </w:r>
    </w:p>
    <w:p>
      <w:pPr>
        <w:spacing w:after="120" w:line="300" w:lineRule="auto"/>
      </w:pPr>
      <w:r>
        <w:rPr>
          <w:rFonts w:ascii="Calibri" w:hAnsi="Calibri"/>
          <w:b w:val="0"/>
          <w:i w:val="0"/>
          <w:color w:val="000000"/>
          <w:sz w:val="22"/>
        </w:rPr>
        <w:t>The restore conclusion is based on both infrastructure recovery and application-level usability. Evidence demonstrates that restored records, attachments, audit trails, signatures, configuration and access controls remained intact. Future restore tests shall include at least one closed sample, one signed record, one attachment, one audit trail and one interface status check.</w:t>
      </w:r>
    </w:p>
    <w:tbl>
      <w:tblPr>
        <w:tblStyle w:val="TableGrid"/>
        <w:tblW w:type="dxa" w:w="9360"/>
        <w:tblLayout w:type="fixed"/>
        <w:tblLook w:firstColumn="1" w:firstRow="1" w:lastColumn="0" w:lastRow="0" w:noHBand="0" w:noVBand="1" w:val="04A0"/>
        <w:tblInd w:w="120" w:type="dxa"/>
      </w:tblPr>
      <w:tblGrid>
        <w:gridCol w:w="4052"/>
        <w:gridCol w:w="5308"/>
      </w:tblGrid>
      <w:tr>
        <w:trPr>
          <w:tblHeader w:val="true"/>
        </w:trPr>
        <w:tc>
          <w:tcPr>
            <w:tcW w:type="dxa" w:w="405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Restore test evidence</w:t>
            </w:r>
          </w:p>
        </w:tc>
        <w:tc>
          <w:tcPr>
            <w:tcW w:type="dxa" w:w="530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Result expectation</w:t>
            </w:r>
          </w:p>
        </w:tc>
      </w:tr>
      <w:tr>
        <w:tc>
          <w:tcPr>
            <w:tcW w:type="dxa" w:w="405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Recovery point</w:t>
            </w:r>
          </w:p>
        </w:tc>
        <w:tc>
          <w:tcPr>
            <w:tcW w:type="dxa" w:w="530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Selected point is within approved RPO</w:t>
            </w:r>
          </w:p>
        </w:tc>
      </w:tr>
      <w:tr>
        <w:tc>
          <w:tcPr>
            <w:tcW w:type="dxa" w:w="405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Business record retrieval</w:t>
            </w:r>
          </w:p>
        </w:tc>
        <w:tc>
          <w:tcPr>
            <w:tcW w:type="dxa" w:w="530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Sample/result/attachment can be opened and compared</w:t>
            </w:r>
          </w:p>
        </w:tc>
      </w:tr>
      <w:tr>
        <w:tc>
          <w:tcPr>
            <w:tcW w:type="dxa" w:w="405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Audit/signature integrity</w:t>
            </w:r>
          </w:p>
        </w:tc>
        <w:tc>
          <w:tcPr>
            <w:tcW w:type="dxa" w:w="530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Audit trail and signature manifestation remain linked</w:t>
            </w:r>
          </w:p>
        </w:tc>
      </w:tr>
      <w:tr>
        <w:tc>
          <w:tcPr>
            <w:tcW w:type="dxa" w:w="405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Configuration/access</w:t>
            </w:r>
          </w:p>
        </w:tc>
        <w:tc>
          <w:tcPr>
            <w:tcW w:type="dxa" w:w="530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Restored environment uses approved baseline and restricted access</w:t>
            </w:r>
          </w:p>
        </w:tc>
      </w:tr>
      <w:tr>
        <w:tc>
          <w:tcPr>
            <w:tcW w:type="dxa" w:w="405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Monitoring restart</w:t>
            </w:r>
          </w:p>
        </w:tc>
        <w:tc>
          <w:tcPr>
            <w:tcW w:type="dxa" w:w="530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Backup/monitoring jobs resume or exception is documented</w:t>
            </w:r>
          </w:p>
        </w:tc>
      </w:tr>
    </w:tbl>
    <w:p>
      <w:pPr>
        <w:spacing w:after="80"/>
      </w:pPr>
    </w:p>
    <w:p>
      <w:pPr>
        <w:pStyle w:val="Heading1"/>
      </w:pPr>
      <w:r>
        <w:t>5. Related documents</w:t>
      </w:r>
    </w:p>
    <w:tbl>
      <w:tblPr>
        <w:tblStyle w:val="TableGrid"/>
        <w:tblW w:type="dxa" w:w="9360"/>
        <w:tblLayout w:type="fixed"/>
        <w:tblLook w:firstColumn="1" w:firstRow="1" w:lastColumn="0" w:lastRow="0" w:noHBand="0" w:noVBand="1" w:val="04A0"/>
        <w:tblInd w:w="120" w:type="dxa"/>
      </w:tblPr>
      <w:tblGrid>
        <w:gridCol w:w="2224"/>
        <w:gridCol w:w="2038"/>
        <w:gridCol w:w="5098"/>
      </w:tblGrid>
      <w:tr>
        <w:trPr>
          <w:tblHeader w:val="true"/>
        </w:trPr>
        <w:tc>
          <w:tcPr>
            <w:tcW w:type="dxa" w:w="222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Relationship</w:t>
            </w:r>
          </w:p>
        </w:tc>
        <w:tc>
          <w:tcPr>
            <w:tcW w:type="dxa" w:w="203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 ID</w:t>
            </w:r>
          </w:p>
        </w:tc>
        <w:tc>
          <w:tcPr>
            <w:tcW w:type="dxa" w:w="509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QCL-2026-IAD-001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[Infrastructure and Architecture Design](026_Infrastructure_and_Architecture_Design.md)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QCL-2026-BRS-001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[Backup and Restore Specification](034_Backup_and_Restore_Specification.md)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QCL-2026-FRA-001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[Functional Risk Assessment](038_Functional_Risk_Assessment.md)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QCL-2026-VTP-001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[Validation Test Plan and Strategy](046_Validation_Test_Plan_and_Strategy.md)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QCL-2026-MTS-001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[Master Test Scripts and Test Data Catalogue](047_Master_Test_Scripts_and_Test_Data_Catalogue.md)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QCL-2026-IQ-001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[Installation Qualification Protocol and Report](048_Installation_Qualification_Protocol_and_Report.md)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QCL-2026-DRT-001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[Failover and Disaster Recovery Test Report](058_Failover_and_Disaster_Recovery_Test_Report.md)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QCL-2026-TSR-001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[Test Summary Report](063_Test_Summary_Report.md)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QCL-2026-RTM-002</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[Final Requirements Traceability Matrix](064_Final_Requirements_Traceability_Matrix.md)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QCL-2026-VSR-001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[Validation Summary Report](065_Validation_Summary_Report.md)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SOP-IT-LIMS-002</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Operations, Maintenance, Backup, Incident, Change and Security SOP](069_Operations_Maintenance_Backup_Incident_Change_and_Security_SOP.md)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QCL-2027-BML-001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[Backup Monitoring Log and Exception Record](083_Backup_Monitoring_Log_and_Exception_Record.md)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QCL-2027-RST-001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[Periodic Restore Test Report](084_Periodic_Restore_Test_Report.md)</w:t>
            </w:r>
          </w:p>
        </w:tc>
      </w:tr>
    </w:tbl>
    <w:p>
      <w:pPr>
        <w:spacing w:after="80"/>
      </w:pPr>
    </w:p>
    <w:p>
      <w:pPr>
        <w:pStyle w:val="Heading1"/>
      </w:pPr>
      <w:r>
        <w:t>Approval record</w:t>
      </w:r>
    </w:p>
    <w:tbl>
      <w:tblPr>
        <w:tblStyle w:val="TableGrid"/>
        <w:tblW w:type="dxa" w:w="9360"/>
        <w:tblLayout w:type="fixed"/>
        <w:tblLook w:firstColumn="1" w:firstRow="1" w:lastColumn="0" w:lastRow="0" w:noHBand="0" w:noVBand="1" w:val="04A0"/>
        <w:tblInd w:w="120" w:type="dxa"/>
      </w:tblPr>
      <w:tblGrid>
        <w:gridCol w:w="3288"/>
        <w:gridCol w:w="2782"/>
        <w:gridCol w:w="3290"/>
      </w:tblGrid>
      <w:tr>
        <w:trPr>
          <w:tblHeader w:val="true"/>
        </w:trPr>
        <w:tc>
          <w:tcPr>
            <w:tcW w:type="dxa" w:w="328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Approval step</w:t>
            </w:r>
          </w:p>
        </w:tc>
        <w:tc>
          <w:tcPr>
            <w:tcW w:type="dxa" w:w="278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Role</w:t>
            </w:r>
          </w:p>
        </w:tc>
        <w:tc>
          <w:tcPr>
            <w:tcW w:type="dxa" w:w="329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Case outcome</w:t>
            </w:r>
          </w:p>
        </w:tc>
      </w:tr>
      <w:tr>
        <w:tc>
          <w:tcPr>
            <w:tcW w:type="dxa" w:w="328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Prepared by</w:t>
            </w:r>
          </w:p>
        </w:tc>
        <w:tc>
          <w:tcPr>
            <w:tcW w:type="dxa" w:w="278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Test Lead</w:t>
            </w:r>
          </w:p>
        </w:tc>
        <w:tc>
          <w:tcPr>
            <w:tcW w:type="dxa" w:w="329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28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Reviewed by</w:t>
            </w:r>
          </w:p>
        </w:tc>
        <w:tc>
          <w:tcPr>
            <w:tcW w:type="dxa" w:w="278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Business Process Owner</w:t>
            </w:r>
          </w:p>
        </w:tc>
        <w:tc>
          <w:tcPr>
            <w:tcW w:type="dxa" w:w="329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28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by</w:t>
            </w:r>
          </w:p>
        </w:tc>
        <w:tc>
          <w:tcPr>
            <w:tcW w:type="dxa" w:w="278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QA Validation Manager</w:t>
            </w:r>
          </w:p>
        </w:tc>
        <w:tc>
          <w:tcPr>
            <w:tcW w:type="dxa" w:w="329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Revision history</w:t>
      </w:r>
    </w:p>
    <w:tbl>
      <w:tblPr>
        <w:tblStyle w:val="TableGrid"/>
        <w:tblW w:type="dxa" w:w="9360"/>
        <w:tblLayout w:type="fixed"/>
        <w:tblLook w:firstColumn="1" w:firstRow="1" w:lastColumn="0" w:lastRow="0" w:noHBand="0" w:noVBand="1" w:val="04A0"/>
        <w:tblInd w:w="120" w:type="dxa"/>
      </w:tblPr>
      <w:tblGrid>
        <w:gridCol w:w="2047"/>
        <w:gridCol w:w="1462"/>
        <w:gridCol w:w="5851"/>
      </w:tblGrid>
      <w:tr>
        <w:trPr>
          <w:tblHeader w:val="true"/>
        </w:trPr>
        <w:tc>
          <w:tcPr>
            <w:tcW w:type="dxa" w:w="2047"/>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Version</w:t>
            </w:r>
          </w:p>
        </w:tc>
        <w:tc>
          <w:tcPr>
            <w:tcW w:type="dxa" w:w="1462"/>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Date</w:t>
            </w:r>
          </w:p>
        </w:tc>
        <w:tc>
          <w:tcPr>
            <w:tcW w:type="dxa" w:w="5851"/>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Change</w:t>
            </w:r>
          </w:p>
        </w:tc>
      </w:tr>
      <w:tr>
        <w:tc>
          <w:tcPr>
            <w:tcW w:type="dxa" w:w="2047"/>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1.0</w:t>
            </w:r>
          </w:p>
        </w:tc>
        <w:tc>
          <w:tcPr>
            <w:tcW w:type="dxa" w:w="1462"/>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2027-04-30</w:t>
            </w:r>
          </w:p>
        </w:tc>
        <w:tc>
          <w:tcPr>
            <w:tcW w:type="dxa" w:w="58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Initial approved fictional case version.</w:t>
            </w:r>
          </w:p>
        </w:tc>
      </w:tr>
    </w:tbl>
    <w:p>
      <w:pPr>
        <w:spacing w:after="8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7"/>
      </w:rPr>
      <w:t xml:space="preserve">QCL-2026-BRT-001 | Version 1.0 | Approved in fictional case | Page </w:t>
    </w:r>
    <w:r>
      <w:fldChar w:fldCharType="begin"/>
    </w:r>
    <w:r>
      <w:instrText xml:space="preserve"> PAGE </w:instrText>
    </w:r>
    <w:r>
      <w:fldChar w:fldCharType="separate"/>
    </w:r>
    <w:r>
      <w:rPr>
        <w:rFonts w:ascii="Calibri" w:hAnsi="Calibri"/>
        <w:color w:val="595959"/>
        <w:sz w:val="18"/>
      </w:rPr>
      <w:t>1</w:t>
    </w:r>
    <w:r>
      <w:fldChar w:fldCharType="end"/>
    </w:r>
    <w:r>
      <w:rPr>
        <w:rFonts w:ascii="Calibri" w:hAnsi="Calibri"/>
        <w:color w:val="595959"/>
        <w:sz w:val="17"/>
      </w:rPr>
      <w:t xml:space="preserve"> of </w:t>
    </w:r>
    <w:r>
      <w:fldChar w:fldCharType="begin"/>
    </w:r>
    <w:r>
      <w:instrText xml:space="preserve"> NUMPAGES </w:instrText>
    </w:r>
    <w:r>
      <w:fldChar w:fldCharType="separate"/>
    </w:r>
    <w:r>
      <w:rPr>
        <w:rFonts w:ascii="Calibri" w:hAnsi="Calibri"/>
        <w:color w:val="595959"/>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libri" w:hAnsi="Calibri"/>
        <w:b/>
        <w:color w:val="595959"/>
        <w:sz w:val="17"/>
      </w:rPr>
      <w:t>QCL-2026 | QCLabOne 2.0 LIMS/LES</w:t>
    </w:r>
    <w:r>
      <w:tab/>
    </w:r>
    <w:r>
      <w:rPr>
        <w:rFonts w:ascii="Calibri" w:hAnsi="Calibri"/>
        <w:color w:val="595959"/>
        <w:sz w:val="17"/>
      </w:rPr>
      <w:t>QCL-2026-BRT-001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Backup and Restore Test Report</dc:title>
  <dc:subject>GMP CSV controlled-document conversion</dc:subject>
  <dc:creator>CSV108 Markdown DOCX Converter</dc:creator>
  <cp:keywords>CSV, GMP, validation, DOCX, controlled document</cp:keywords>
  <dc:description>Converted from CSV108 Markdown source. Requires site-specific QA review before operational use.</dc:description>
  <cp:lastModifiedBy>CSV108 Markdown DOCX Converter</cp:lastModifiedBy>
  <cp:revision>1</cp:revision>
  <dcterms:created xsi:type="dcterms:W3CDTF">2026-06-19T09:00:00Z</dcterms:created>
  <dcterms:modified xsi:type="dcterms:W3CDTF">2026-06-19T09:00:00Z</dcterms:modified>
  <cp:category>GMP CSV</cp:category>
</cp:coreProperties>
</file>