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Performance, Load and Capacity Test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QCL-2026-PLC-001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Verification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2027-04-30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QCL-2026-PLC-001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Verification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2027-04-30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w:t>
      </w:r>
    </w:p>
    <w:p>
      <w:pPr>
        <w:spacing w:after="120" w:line="300" w:lineRule="auto"/>
      </w:pPr>
      <w:r>
        <w:rPr>
          <w:rFonts w:ascii="Calibri" w:hAnsi="Calibri"/>
          <w:b w:val="0"/>
          <w:i w:val="0"/>
          <w:color w:val="000000"/>
          <w:sz w:val="22"/>
        </w:rPr>
        <w:t>Confirm that the production design supports expected users, interface throughput, reports and five-year data growth.</w:t>
      </w:r>
    </w:p>
    <w:p>
      <w:pPr>
        <w:pStyle w:val="Heading1"/>
      </w:pPr>
      <w:r>
        <w:t>2. Results</w:t>
      </w:r>
    </w:p>
    <w:tbl>
      <w:tblPr>
        <w:tblStyle w:val="TableGrid"/>
        <w:tblW w:type="dxa" w:w="9360"/>
        <w:tblLayout w:type="fixed"/>
        <w:tblLook w:firstColumn="1" w:firstRow="1" w:lastColumn="0" w:lastRow="0" w:noHBand="0" w:noVBand="1" w:val="04A0"/>
        <w:tblInd w:w="120" w:type="dxa"/>
      </w:tblPr>
      <w:tblGrid>
        <w:gridCol w:w="720"/>
        <w:gridCol w:w="1991"/>
        <w:gridCol w:w="3186"/>
        <w:gridCol w:w="3463"/>
      </w:tblGrid>
      <w:tr>
        <w:trPr>
          <w:tblHeader w:val="true"/>
        </w:trPr>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Test</w:t>
            </w:r>
          </w:p>
        </w:tc>
        <w:tc>
          <w:tcPr>
            <w:tcW w:type="dxa" w:w="199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Load/scenario</w:t>
            </w:r>
          </w:p>
        </w:tc>
        <w:tc>
          <w:tcPr>
            <w:tcW w:type="dxa" w:w="31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Acceptance</w:t>
            </w:r>
          </w:p>
        </w:tc>
        <w:tc>
          <w:tcPr>
            <w:tcW w:type="dxa" w:w="346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Actual/outcome</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PLC-001</w:t>
            </w:r>
          </w:p>
        </w:tc>
        <w:tc>
          <w:tcPr>
            <w:tcW w:type="dxa" w:w="19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200 concurrent mixed users</w:t>
            </w:r>
          </w:p>
        </w:tc>
        <w:tc>
          <w:tcPr>
            <w:tcW w:type="dxa" w:w="31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95th percentile ≤3.0 s for standard transactions</w:t>
            </w:r>
          </w:p>
        </w:tc>
        <w:tc>
          <w:tcPr>
            <w:tcW w:type="dxa" w:w="34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2.4 s after cache/index correction; 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PLC-002</w:t>
            </w:r>
          </w:p>
        </w:tc>
        <w:tc>
          <w:tcPr>
            <w:tcW w:type="dxa" w:w="19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10,000 interface messages/hour</w:t>
            </w:r>
          </w:p>
        </w:tc>
        <w:tc>
          <w:tcPr>
            <w:tcW w:type="dxa" w:w="31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 loss; backlog clears within 30 min</w:t>
            </w:r>
          </w:p>
        </w:tc>
        <w:tc>
          <w:tcPr>
            <w:tcW w:type="dxa" w:w="34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10,000 accepted/rejected as designed; backlog 12 min; 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PLC-003</w:t>
            </w:r>
          </w:p>
        </w:tc>
        <w:tc>
          <w:tcPr>
            <w:tcW w:type="dxa" w:w="19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100,000-result report</w:t>
            </w:r>
          </w:p>
        </w:tc>
        <w:tc>
          <w:tcPr>
            <w:tcW w:type="dxa" w:w="31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Generate ≤5 min without truncation</w:t>
            </w:r>
          </w:p>
        </w:tc>
        <w:tc>
          <w:tcPr>
            <w:tcW w:type="dxa" w:w="34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3 min 42 sec; Pass</w:t>
            </w:r>
          </w:p>
        </w:tc>
      </w:tr>
      <w:tr>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PLC-004</w:t>
            </w:r>
          </w:p>
        </w:tc>
        <w:tc>
          <w:tcPr>
            <w:tcW w:type="dxa" w:w="199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Five-year capacity forecast</w:t>
            </w:r>
          </w:p>
        </w:tc>
        <w:tc>
          <w:tcPr>
            <w:tcW w:type="dxa" w:w="31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≥30% headroom and alerts at 70/85%</w:t>
            </w:r>
          </w:p>
        </w:tc>
        <w:tc>
          <w:tcPr>
            <w:tcW w:type="dxa" w:w="346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Projected peak 61%; alert tests passed</w:t>
            </w:r>
          </w:p>
        </w:tc>
      </w:tr>
    </w:tbl>
    <w:p>
      <w:pPr>
        <w:spacing w:after="80"/>
      </w:pPr>
    </w:p>
    <w:p>
      <w:pPr>
        <w:pStyle w:val="Heading1"/>
      </w:pPr>
      <w:r>
        <w:t>3. Deviation DEV-004</w:t>
      </w:r>
    </w:p>
    <w:p>
      <w:pPr>
        <w:spacing w:after="120" w:line="300" w:lineRule="auto"/>
      </w:pPr>
      <w:r>
        <w:rPr>
          <w:rFonts w:ascii="Calibri" w:hAnsi="Calibri"/>
          <w:b w:val="0"/>
          <w:i w:val="0"/>
          <w:color w:val="000000"/>
          <w:sz w:val="22"/>
        </w:rPr>
        <w:t>The initial stability dashboard response was 3.8 seconds at peak load. A database index and cache setting reduced the 95th percentile to 2.4 seconds. No data correctness or integrity issue occurred.</w:t>
      </w:r>
    </w:p>
    <w:p>
      <w:pPr>
        <w:pStyle w:val="Heading1"/>
      </w:pPr>
      <w:r>
        <w:t>4. Conclusion</w:t>
      </w:r>
    </w:p>
    <w:p>
      <w:pPr>
        <w:spacing w:after="120" w:line="300" w:lineRule="auto"/>
      </w:pPr>
      <w:r>
        <w:rPr>
          <w:rFonts w:ascii="Calibri" w:hAnsi="Calibri"/>
          <w:b w:val="0"/>
          <w:i w:val="0"/>
          <w:color w:val="000000"/>
          <w:sz w:val="22"/>
        </w:rPr>
        <w:t>Performance and capacity meet the approved release criteria.</w:t>
      </w:r>
    </w:p>
    <w:p>
      <w:pPr>
        <w:spacing w:after="120" w:line="300" w:lineRule="auto"/>
      </w:pPr>
      <w:r>
        <w:rPr>
          <w:rFonts w:ascii="Calibri" w:hAnsi="Calibri"/>
          <w:b w:val="0"/>
          <w:i w:val="0"/>
          <w:color w:val="000000"/>
          <w:sz w:val="22"/>
        </w:rPr>
        <w:t>Performance acceptance applies to the tested workload model and release baseline. If user concurrency, interface volume, attachment growth, report complexity or infrastructure sizing materially changes, the System Owner shall assess whether capacity modelling or regression load testing is required. Performance fixes that change query logic, cache behavior or indexing require regression consideration for data correctness and auditability.</w:t>
      </w:r>
    </w:p>
    <w:tbl>
      <w:tblPr>
        <w:tblStyle w:val="TableGrid"/>
        <w:tblW w:type="dxa" w:w="9360"/>
        <w:tblLayout w:type="fixed"/>
        <w:tblLook w:firstColumn="1" w:firstRow="1" w:lastColumn="0" w:lastRow="0" w:noHBand="0" w:noVBand="1" w:val="04A0"/>
        <w:tblInd w:w="120" w:type="dxa"/>
      </w:tblPr>
      <w:tblGrid>
        <w:gridCol w:w="3941"/>
        <w:gridCol w:w="5419"/>
      </w:tblGrid>
      <w:tr>
        <w:trPr>
          <w:tblHeader w:val="true"/>
        </w:trPr>
        <w:tc>
          <w:tcPr>
            <w:tcW w:type="dxa" w:w="394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Performance evidence</w:t>
            </w:r>
          </w:p>
        </w:tc>
        <w:tc>
          <w:tcPr>
            <w:tcW w:type="dxa" w:w="541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Acceptance expectation</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Workload model</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Concurrent users, transaction mix and data volume are defined</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Response time</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Critical workflows meet approved percentile targets</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throughput</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Backlog clears within operational tolerance</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Capacity forecast</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Headroom and alert thresholds support five-year projection</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Deviation impact</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Performance fixes do not alter regulated calculations or records</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QCL-2026-IAD-001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[Infrastructure and Architecture Design](026_Infrastructure_and_Architecture_Design.md)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[Report and Calculation Specification](029_Report_and_Calculation_Specification.md)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Test Scripts and Test Data Catalogue](047_Master_Test_Scripts_and_Test_Data_Catalogue.md)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QCL-2026-DEV-001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Deviation Log and Investigation Report](061_Validation_Deviation_Log_and_Investigation_Report.md)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Summary Report](063_Test_Summary_Report.md)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QCL-2026-RTM-002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[Final Requirements Traceability Matrix](064_Final_Requirements_Traceability_Matrix.md)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QCL-2026-VSR-001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Report](065_Validation_Summary_Report.md)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QCL-2028-PRR-001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Periodic Review Report](092_Annual_Periodic_Review_Report.md)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88"/>
        <w:gridCol w:w="2782"/>
        <w:gridCol w:w="3290"/>
      </w:tblGrid>
      <w:tr>
        <w:trPr>
          <w:tblHeader w:val="true"/>
        </w:trPr>
        <w:tc>
          <w:tcPr>
            <w:tcW w:type="dxa" w:w="328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78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9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Test Lead</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Process Owner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8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78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29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2027-04-30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QCL-2026-PLC-001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QCL-2026-PLC-001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Load and Capacity Test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