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Defect Log and Resolution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log records validation defects, resolution, retest and closure.</w:t>
      </w:r>
    </w:p>
    <w:p>
      <w:pPr>
        <w:pStyle w:val="Heading1"/>
      </w:pPr>
      <w:r>
        <w:t>2. Defect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720"/>
        <w:gridCol w:w="768"/>
        <w:gridCol w:w="2640"/>
        <w:gridCol w:w="960"/>
        <w:gridCol w:w="2640"/>
        <w:gridCol w:w="912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ID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Phase</w:t>
            </w:r>
          </w:p>
        </w:tc>
        <w:tc>
          <w:tcPr>
            <w:tcW w:type="dxa" w:w="76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Severity</w:t>
            </w:r>
          </w:p>
        </w:tc>
        <w:tc>
          <w:tcPr>
            <w:tcW w:type="dxa" w:w="26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Description</w:t>
            </w:r>
          </w:p>
        </w:tc>
        <w:tc>
          <w:tcPr>
            <w:tcW w:type="dxa" w:w="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Cause area</w:t>
            </w:r>
          </w:p>
        </w:tc>
        <w:tc>
          <w:tcPr>
            <w:tcW w:type="dxa" w:w="26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Resolution</w:t>
            </w:r>
          </w:p>
        </w:tc>
        <w:tc>
          <w:tcPr>
            <w:tcW w:type="dxa" w:w="91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Final 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OQ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 trail reason not mandatory when changing sample comment classified as critical metadata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Configuration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Changed event classification and mandatory reason rule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Closed; retest ATC-002/003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Migration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Attachment names containing `:` and `*` failed target import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Migration transform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Normalize storage filename and retain original in metadata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Closed; DMT-003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Interface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Medium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eQMS retry after timeout could create a duplicate case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Custom code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Add idempotency key and response lookup before retry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Closed; UT/IFT-EQM-002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Low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Long method name wrapped over signature footer on one PDF page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Template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Adjusted layout and regression set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Closed; RPT-003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PQ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Low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Overdue stability dashboard sorted text dates incorrectly in Chinese locale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Configuration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Use ISO date sort field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Closed; PQ-004 retest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DEF-006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SAT</w:t>
            </w:r>
          </w:p>
        </w:tc>
        <w:tc>
          <w:tcPr>
            <w:tcW w:type="dxa" w:w="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Low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One barcode printer used outdated driver</w:t>
            </w:r>
          </w:p>
        </w:tc>
        <w:tc>
          <w:tcPr>
            <w:tcW w:type="dxa" w:w="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Installation</w:t>
            </w:r>
          </w:p>
        </w:tc>
        <w:tc>
          <w:tcPr>
            <w:tcW w:type="dxa" w:w="26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Installed approved driver and reverified</w:t>
            </w:r>
          </w:p>
        </w:tc>
        <w:tc>
          <w:tcPr>
            <w:tcW w:type="dxa" w:w="9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Closed</w:t>
            </w:r>
          </w:p>
        </w:tc>
      </w:tr>
    </w:tbl>
    <w:p>
      <w:pPr>
        <w:spacing w:after="80"/>
      </w:pPr>
    </w:p>
    <w:p>
      <w:pPr>
        <w:pStyle w:val="Heading1"/>
      </w:pPr>
      <w:r>
        <w:t>3. Trend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Six defects were identified: zero Critical/High, three Medium and three Low. All were corrected and retested before release. No repeated systemic failure remained.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Defect closure requires root cause, affected requirement/test, correction, regression or no-regression rationale, retest evidence and QA disposition where GxP impact is possible. A defect is release blocking when it prevents intended use, compromises data integrity, prevents inspection retrieval, creates an incorrect quality decision or invalidates a required control.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52"/>
        <w:gridCol w:w="5308"/>
      </w:tblGrid>
      <w:tr>
        <w:trPr>
          <w:tblHeader w:val="true"/>
        </w:trPr>
        <w:tc>
          <w:tcPr>
            <w:tcW w:type="dxa" w:w="40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Defect decision point</w:t>
            </w:r>
          </w:p>
        </w:tc>
        <w:tc>
          <w:tcPr>
            <w:tcW w:type="dxa" w:w="530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Required disposition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Critical/High defect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 blocked until corrected or formally risk accepted by QA leadership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Medium defect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Corrected or residual risk accepted with workaround and owner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Low defect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Corrected or accepted with no GxP/data-integrity impact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Repeated defect theme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Trend/root-cause review and CAPA consideration</w:t>
            </w:r>
          </w:p>
        </w:tc>
      </w:tr>
      <w:tr>
        <w:tc>
          <w:tcPr>
            <w:tcW w:type="dxa" w:w="40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Retest evidence</w:t>
            </w:r>
          </w:p>
        </w:tc>
        <w:tc>
          <w:tcPr>
            <w:tcW w:type="dxa" w:w="53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Original failure, correction and passing evidence remain linked</w:t>
            </w:r>
          </w:p>
        </w:tc>
      </w:tr>
    </w:tbl>
    <w:p>
      <w:pPr>
        <w:spacing w:after="80"/>
      </w:pP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QCL-2026-DEF-001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QCL-2026-DEF-001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Log and Resolution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