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Validation Summary Report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QCL-2026-VSR-001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Release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2027-06-05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QCL-2026-VSR-001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Release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2027-06-05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Executive conclusion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validation programme provides documented evidence that QCLabOne 2.0 LIMS/LES is fit for its approved GMP intended use at Suzhou Sterile Products Manufacturing Site. The system may be released to production when the go-live readiness checklist and release approval are complete.</w:t>
      </w:r>
    </w:p>
    <w:p>
      <w:pPr>
        <w:pStyle w:val="Heading1"/>
      </w:pPr>
      <w:r>
        <w:t>2. Validation scope completed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Supplier qualification; URS; risk; architecture/design/configuration; custom development; FAT/SAT; IQ/OQ/PQ; interface, migration, access, audit trail, electronic signature, backup/restore, performance, DR and report verification; traceability; SOP/training and production baseline preparation.</w:t>
      </w:r>
    </w:p>
    <w:p>
      <w:pPr>
        <w:pStyle w:val="Heading1"/>
      </w:pPr>
      <w:r>
        <w:t>3. Evidence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3"/>
        <w:gridCol w:w="6957"/>
      </w:tblGrid>
      <w:tr>
        <w:trPr>
          <w:tblHeader w:val="true"/>
        </w:trPr>
        <w:tc>
          <w:tcPr>
            <w:tcW w:type="dxa" w:w="240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Area</w:t>
            </w:r>
          </w:p>
        </w:tc>
        <w:tc>
          <w:tcPr>
            <w:tcW w:type="dxa" w:w="695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Conclusion</w:t>
            </w:r>
          </w:p>
        </w:tc>
      </w:tr>
      <w:tr>
        <w:tc>
          <w:tcPr>
            <w:tcW w:type="dxa" w:w="24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Requirements</w:t>
            </w:r>
          </w:p>
        </w:tc>
        <w:tc>
          <w:tcPr>
            <w:tcW w:type="dxa" w:w="69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72 approved; 72 with passing final coverage</w:t>
            </w:r>
          </w:p>
        </w:tc>
      </w:tr>
      <w:tr>
        <w:tc>
          <w:tcPr>
            <w:tcW w:type="dxa" w:w="24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Tests</w:t>
            </w:r>
          </w:p>
        </w:tc>
        <w:tc>
          <w:tcPr>
            <w:tcW w:type="dxa" w:w="69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98 catalogue tests executed; all pass after controlled retest</w:t>
            </w:r>
          </w:p>
        </w:tc>
      </w:tr>
      <w:tr>
        <w:tc>
          <w:tcPr>
            <w:tcW w:type="dxa" w:w="24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Defects</w:t>
            </w:r>
          </w:p>
        </w:tc>
        <w:tc>
          <w:tcPr>
            <w:tcW w:type="dxa" w:w="69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6 closed; none Critical/High</w:t>
            </w:r>
          </w:p>
        </w:tc>
      </w:tr>
      <w:tr>
        <w:tc>
          <w:tcPr>
            <w:tcW w:type="dxa" w:w="24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Deviations</w:t>
            </w:r>
          </w:p>
        </w:tc>
        <w:tc>
          <w:tcPr>
            <w:tcW w:type="dxa" w:w="69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4 closed; no production-data impact</w:t>
            </w:r>
          </w:p>
        </w:tc>
      </w:tr>
      <w:tr>
        <w:tc>
          <w:tcPr>
            <w:tcW w:type="dxa" w:w="24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Migration readiness</w:t>
            </w:r>
          </w:p>
        </w:tc>
        <w:tc>
          <w:tcPr>
            <w:tcW w:type="dxa" w:w="69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Trial criteria met; production migration plan approved</w:t>
            </w:r>
          </w:p>
        </w:tc>
      </w:tr>
      <w:tr>
        <w:tc>
          <w:tcPr>
            <w:tcW w:type="dxa" w:w="24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Part 11/Annex 11</w:t>
            </w:r>
          </w:p>
        </w:tc>
        <w:tc>
          <w:tcPr>
            <w:tcW w:type="dxa" w:w="69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Applicable controls assessed and verified</w:t>
            </w:r>
          </w:p>
        </w:tc>
      </w:tr>
      <w:tr>
        <w:tc>
          <w:tcPr>
            <w:tcW w:type="dxa" w:w="24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Supplier</w:t>
            </w:r>
          </w:p>
        </w:tc>
        <w:tc>
          <w:tcPr>
            <w:tcW w:type="dxa" w:w="69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Qualified; audit CAPAs closed; agreement effective</w:t>
            </w:r>
          </w:p>
        </w:tc>
      </w:tr>
      <w:tr>
        <w:tc>
          <w:tcPr>
            <w:tcW w:type="dxa" w:w="24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Backup/DR</w:t>
            </w:r>
          </w:p>
        </w:tc>
        <w:tc>
          <w:tcPr>
            <w:tcW w:type="dxa" w:w="69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RPO 7 min and RTO 6 h 35 min demonstrated</w:t>
            </w:r>
          </w:p>
        </w:tc>
      </w:tr>
      <w:tr>
        <w:tc>
          <w:tcPr>
            <w:tcW w:type="dxa" w:w="24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Training/SOP</w:t>
            </w:r>
          </w:p>
        </w:tc>
        <w:tc>
          <w:tcPr>
            <w:tcW w:type="dxa" w:w="69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for completion before access/go-live</w:t>
            </w:r>
          </w:p>
        </w:tc>
      </w:tr>
    </w:tbl>
    <w:p>
      <w:pPr>
        <w:spacing w:after="80"/>
      </w:pPr>
    </w:p>
    <w:p>
      <w:pPr>
        <w:pStyle w:val="Heading1"/>
      </w:pPr>
      <w:r>
        <w:t>4. Residual risk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Residual risks are Medium or Low. Severe consequences remain theoretically possible for calculation, CDS transfer, audit trail, backup and migration, but verified preventive/detective controls reduce likelihood and improve detection. QA and system/business owners accept the residual risk.</w:t>
      </w:r>
    </w:p>
    <w:p>
      <w:pPr>
        <w:pStyle w:val="Heading1"/>
      </w:pPr>
      <w:r>
        <w:t>5. Open release conditions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1. Complete production migration and reconciliation. 2. Confirm production readiness checklist. 3. Complete role training and access approval. 4. Verify production baseline/checksum. 5. Obtain formal production release approval.</w:t>
      </w:r>
    </w:p>
    <w:p>
      <w:pPr>
        <w:pStyle w:val="Heading1"/>
      </w:pPr>
      <w:r>
        <w:t>6. Validation decision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Approved for controlled production release subject to the five conditions above. No retrospective validation activity is required.</w:t>
      </w:r>
    </w:p>
    <w:p>
      <w:pPr>
        <w:pStyle w:val="Heading1"/>
      </w:pPr>
      <w:r>
        <w:t>7.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Project Validation Plan](015_Project_Validation_Plan.md)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QCL-2026-QTA-001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[Quality/Technical Agreement and Service Level Agreement](020_Quality_Technical_Agreement_and_SLA.md)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QCL-2026-URS-001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[User Requirements Specification](022_User_Requirements_Specification.md)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Risk Assessment](038_Functional_Risk_Assessment.md)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QCL-2026-TSR-001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[Test Summary Report](063_Test_Summary_Report.md)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QCL-2026-RTM-002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[Final Requirements Traceability Matrix](064_Final_Requirements_Traceability_Matrix.md)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SOP-QC-LIMS-001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User Operation SOP](066_User_Operation_SOP.md)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SOP-IT-LIMS-001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System Administration SOP](067_System_Administration_SOP.md)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SOP-QA-ATR-001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Audit Trail Review SOP](068_Audit_Trail_Review_SOP.md)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SOP-IT-LIMS-002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Operations, Maintenance, Backup, Incident, Change and Security SOP](069_Operations_Maintenance_Backup_Incident_Change_and_Security_SOP.md)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SOP-QA-ARC-001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Retention, Archiving and Record Retrieval SOP](070_Data_Retention_Archiving_and_Record_Retrieval_SOP.md)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QCL-2026-TRN-001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[Training Plan, Materials and Training Record](071_Training_Plan_Materials_and_Training_Record.md)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QCL-2026-CUT-001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[Cutover, Rollback and Contingency Plan](072_Cutover_Rollback_and_Contingency_Plan.md)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QCL-2026-PDM-001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[Production Data Migration Execution and Reconciliation Record](073_Production_Data_Migration_Execution_and_Reconciliation_Record.md)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QCL-2026-PRC-001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[Production Readiness Checklist](074_Production_Readiness_Checklist.md)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QCL-2026-GLA-001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[Go-Live and Production Release Approval](075_Go_Live_and_Production_Release_Approval.md)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QCL-2026-HOV-001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[System Handover and Support Model](076_System_Handover_and_Support_Model.md)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QCL-2026-PBL-001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[Production Baseline and Approved Configuration Record](077_Production_Baseline_and_Approved_Configuration_Record.md)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QCL-2028-PRR-001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[Annual Periodic Review Report](092_Annual_Periodic_Review_Report.md)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QCL-2028-FDI-001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[Final Validation and Retirement Dossier Index](108_Final_Validation_and_Retirement_Dossier_Index.md)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60"/>
        <w:gridCol w:w="3038"/>
        <w:gridCol w:w="3162"/>
      </w:tblGrid>
      <w:tr>
        <w:trPr>
          <w:tblHeader w:val="true"/>
        </w:trPr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3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1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 Business Process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 Quality Head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2027-06-05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QCL-2026-VSR-001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QCL-2026-VSR-001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Validation Summary Report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