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595959"/>
          <w:sz w:val="19"/>
        </w:rPr>
        <w:t>GMP CSV Controlled Document</w:t>
      </w:r>
    </w:p>
    <w:p>
      <w:pPr>
        <w:spacing w:after="80"/>
      </w:pPr>
      <w:r>
        <w:rPr>
          <w:rFonts w:ascii="Calibri" w:hAnsi="Calibri"/>
          <w:b/>
          <w:color w:val="0B2545"/>
          <w:sz w:val="44"/>
        </w:rPr>
        <w:t>QCLabOne 2.0 User Operation SOP</w:t>
      </w:r>
    </w:p>
    <w:p>
      <w:pPr>
        <w:spacing w:after="200"/>
      </w:pPr>
      <w:r>
        <w:rPr>
          <w:rFonts w:ascii="Calibri" w:hAnsi="Calibri"/>
          <w:color w:val="595959"/>
          <w:sz w:val="23"/>
        </w:rPr>
        <w:t>QCLabOne 2.0 QC Laboratory Digital Platform Replacement Project</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Control Field</w:t>
            </w:r>
          </w:p>
        </w:tc>
        <w:tc>
          <w:tcPr>
            <w:tcW w:type="dxa" w:w="6660"/>
            <w:shd w:fill="D9EAF7"/>
            <w:vAlign w:val="center"/>
            <w:tcMar>
              <w:top w:w="80" w:type="dxa"/>
              <w:bottom w:w="80" w:type="dxa"/>
              <w:start w:w="120" w:type="dxa"/>
              <w:end w:w="120" w:type="dxa"/>
            </w:tcMar>
          </w:tcPr>
          <w:p>
            <w:pPr>
              <w:spacing w:after="0" w:line="276" w:lineRule="auto"/>
            </w:pPr>
            <w:r/>
            <w:r>
              <w:rPr>
                <w:rFonts w:ascii="Calibri" w:hAnsi="Calibri"/>
                <w:b/>
                <w:color w:val="000000"/>
                <w:sz w:val="19"/>
              </w:rPr>
              <w:t>Value</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Document number</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SOP-QC-LIMS-001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System</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QCLabOne 2.0 LIMS/LES</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Lifecycle phase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SOP and Training</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Version</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1.0</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Effective/record date</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2027-05-31</w:t>
            </w:r>
          </w:p>
        </w:tc>
      </w:tr>
      <w:tr>
        <w:tc>
          <w:tcPr>
            <w:tcW w:type="dxa" w:w="2700"/>
            <w:vAlign w:val="center"/>
            <w:tcMar>
              <w:top w:w="80" w:type="dxa"/>
              <w:bottom w:w="80" w:type="dxa"/>
              <w:start w:w="120" w:type="dxa"/>
              <w:end w:w="120" w:type="dxa"/>
            </w:tcMar>
          </w:tcPr>
          <w:p>
            <w:pPr>
              <w:spacing w:after="0" w:line="276" w:lineRule="auto"/>
            </w:pPr>
            <w:r/>
            <w:r>
              <w:rPr>
                <w:rFonts w:ascii="Calibri" w:hAnsi="Calibri"/>
                <w:b/>
                <w:color w:val="000000"/>
                <w:sz w:val="19"/>
              </w:rPr>
              <w:t>Status</w:t>
            </w:r>
          </w:p>
        </w:tc>
        <w:tc>
          <w:tcPr>
            <w:tcW w:type="dxa" w:w="6660"/>
            <w:vAlign w:val="center"/>
            <w:tcMar>
              <w:top w:w="80" w:type="dxa"/>
              <w:bottom w:w="80" w:type="dxa"/>
              <w:start w:w="120" w:type="dxa"/>
              <w:end w:w="120" w:type="dxa"/>
            </w:tcMar>
          </w:tcPr>
          <w:p>
            <w:pPr>
              <w:spacing w:after="0" w:line="276" w:lineRule="auto"/>
            </w:pPr>
            <w:r/>
            <w:r>
              <w:rPr>
                <w:rFonts w:ascii="Calibri" w:hAnsi="Calibri"/>
                <w:b w:val="0"/>
                <w:color w:val="000000"/>
                <w:sz w:val="19"/>
              </w:rPr>
              <w:t>Approved in fictional case</w:t>
            </w:r>
          </w:p>
        </w:tc>
      </w:tr>
    </w:tbl>
    <w:p>
      <w:pPr>
        <w:spacing w:after="80"/>
      </w:pPr>
    </w:p>
    <w:tbl>
      <w:tblPr>
        <w:tblStyle w:val="TableGrid"/>
        <w:tblW w:type="dxa" w:w="9360"/>
        <w:tblLayout w:type="fixed"/>
        <w:tblLook w:firstColumn="1" w:firstRow="1" w:lastColumn="0" w:lastRow="0" w:noHBand="0" w:noVBand="1" w:val="04A0"/>
        <w:tblInd w:w="120" w:type="dxa"/>
      </w:tblPr>
      <w:tblGrid>
        <w:gridCol w:w="9360"/>
      </w:tblGrid>
      <w:tr>
        <w:tc>
          <w:tcPr>
            <w:tcW w:type="dxa" w:w="9360"/>
            <w:shd w:fill="F7F9FC"/>
            <w:vAlign w:val="center"/>
            <w:tcMar>
              <w:top w:w="80" w:type="dxa"/>
              <w:bottom w:w="80" w:type="dxa"/>
              <w:start w:w="120" w:type="dxa"/>
              <w:end w:w="120" w:type="dxa"/>
            </w:tcMar>
          </w:tcPr>
          <w:p>
            <w:pPr>
              <w:spacing w:after="0" w:line="276" w:lineRule="auto"/>
            </w:pPr>
            <w:r/>
            <w:r>
              <w:rPr>
                <w:rFonts w:ascii="Calibri" w:hAnsi="Calibri"/>
                <w:b w:val="0"/>
                <w:color w:val="595959"/>
                <w:sz w:val="19"/>
              </w:rPr>
              <w:t>Use notice: This Markdown file is a fully populated fictional CSV training case. It is not an executed GMP record and does not replace company procedures, approved signatures, supplier evidence, or site-specific risk decisions.</w:t>
            </w:r>
          </w:p>
        </w:tc>
      </w:tr>
    </w:tbl>
    <w:p>
      <w:pPr>
        <w:spacing w:after="80"/>
      </w:pP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586"/>
        <w:gridCol w:w="6774"/>
      </w:tblGrid>
      <w:tr>
        <w:trPr>
          <w:tblHeader w:val="true"/>
        </w:trPr>
        <w:tc>
          <w:tcPr>
            <w:tcW w:type="dxa" w:w="2586"/>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Field</w:t>
            </w:r>
          </w:p>
        </w:tc>
        <w:tc>
          <w:tcPr>
            <w:tcW w:type="dxa" w:w="677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Value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Document number</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SOP-QC-LIMS-001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Company</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NovaSterile Pharma Co., Ltd.</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Site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Suzhou Sterile Products Manufacturing Site</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Project</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QC Laboratory Digital Platform Replacement Project</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LIMS/LES</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Lifecycle phase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 and Training</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Version</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1.0</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Effective/record date</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2027-05-31</w:t>
            </w:r>
          </w:p>
        </w:tc>
      </w:tr>
      <w:tr>
        <w:tc>
          <w:tcPr>
            <w:tcW w:type="dxa" w:w="2586"/>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Case status</w:t>
            </w:r>
          </w:p>
        </w:tc>
        <w:tc>
          <w:tcPr>
            <w:tcW w:type="dxa" w:w="677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Governing references</w:t>
      </w:r>
    </w:p>
    <w:p>
      <w:pPr>
        <w:pStyle w:val="ListBullet"/>
        <w:spacing w:after="80" w:line="300" w:lineRule="auto"/>
      </w:pPr>
      <w:r>
        <w:rPr>
          <w:rFonts w:ascii="Calibri" w:hAnsi="Calibri"/>
          <w:color w:val="000000"/>
          <w:sz w:val="22"/>
        </w:rPr>
        <w:t>China GMP (2010 Revision), Appendix: Computerised Systems (effective 1 December 2015)</w:t>
      </w:r>
    </w:p>
    <w:p>
      <w:pPr>
        <w:pStyle w:val="ListBullet"/>
        <w:spacing w:after="80" w:line="300" w:lineRule="auto"/>
      </w:pPr>
      <w:r>
        <w:rPr>
          <w:rFonts w:ascii="Calibri" w:hAnsi="Calibri"/>
          <w:color w:val="000000"/>
          <w:sz w:val="22"/>
        </w:rPr>
        <w:t>China GMP (2010 Revision), Appendix: Qualification and Validation (effective 1 December 2015)</w:t>
      </w:r>
    </w:p>
    <w:p>
      <w:pPr>
        <w:pStyle w:val="ListBullet"/>
        <w:spacing w:after="80" w:line="300" w:lineRule="auto"/>
      </w:pPr>
      <w:r>
        <w:rPr>
          <w:rFonts w:ascii="Calibri" w:hAnsi="Calibri"/>
          <w:color w:val="000000"/>
          <w:sz w:val="22"/>
        </w:rPr>
        <w:t>EU GMP Annex 11: Computerised Systems (2011)</w:t>
      </w:r>
    </w:p>
    <w:p>
      <w:pPr>
        <w:pStyle w:val="ListBullet"/>
        <w:spacing w:after="80" w:line="300" w:lineRule="auto"/>
      </w:pPr>
      <w:r>
        <w:rPr>
          <w:rFonts w:ascii="Calibri" w:hAnsi="Calibri"/>
          <w:color w:val="000000"/>
          <w:sz w:val="22"/>
        </w:rPr>
        <w:t>EU GMP Annex 15: Qualification and Validation (2015)</w:t>
      </w:r>
    </w:p>
    <w:p>
      <w:pPr>
        <w:pStyle w:val="ListBullet"/>
        <w:spacing w:after="80" w:line="300" w:lineRule="auto"/>
      </w:pPr>
      <w:r>
        <w:rPr>
          <w:rFonts w:ascii="Calibri" w:hAnsi="Calibri"/>
          <w:color w:val="000000"/>
          <w:sz w:val="22"/>
        </w:rPr>
        <w:t>21 CFR Part 11: Electronic Records; Electronic Signatures</w:t>
      </w:r>
    </w:p>
    <w:p>
      <w:pPr>
        <w:pStyle w:val="ListBullet"/>
        <w:spacing w:after="80" w:line="300" w:lineRule="auto"/>
      </w:pPr>
      <w:r>
        <w:rPr>
          <w:rFonts w:ascii="Calibri" w:hAnsi="Calibri"/>
          <w:color w:val="000000"/>
          <w:sz w:val="22"/>
        </w:rPr>
        <w:t>FDA Guidance: Part 11, Electronic Records; Electronic Signatures — Scope and Application</w:t>
      </w:r>
    </w:p>
    <w:p>
      <w:pPr>
        <w:pStyle w:val="ListBullet"/>
        <w:spacing w:after="80" w:line="300" w:lineRule="auto"/>
      </w:pPr>
      <w:r>
        <w:rPr>
          <w:rFonts w:ascii="Calibri" w:hAnsi="Calibri"/>
          <w:color w:val="000000"/>
          <w:sz w:val="22"/>
        </w:rPr>
        <w:t>PIC/S PI 041-1: Good Practices for Data Management and Integrity in Regulated GMP/GDP Environments (2021)</w:t>
      </w:r>
    </w:p>
    <w:p>
      <w:pPr>
        <w:pStyle w:val="ListBullet"/>
        <w:spacing w:after="80" w:line="300" w:lineRule="auto"/>
      </w:pPr>
      <w:r>
        <w:rPr>
          <w:rFonts w:ascii="Calibri" w:hAnsi="Calibri"/>
          <w:color w:val="000000"/>
          <w:sz w:val="22"/>
        </w:rPr>
        <w:t>ISPE GAMP 5, Second Edition (2022), used as non-binding industry guidance</w:t>
      </w:r>
    </w:p>
    <w:p>
      <w:pPr>
        <w:pStyle w:val="Heading1"/>
      </w:pPr>
      <w:r>
        <w:t>1. Purpose and scope</w:t>
      </w:r>
    </w:p>
    <w:p>
      <w:pPr>
        <w:spacing w:after="120" w:line="300" w:lineRule="auto"/>
      </w:pPr>
      <w:r>
        <w:rPr>
          <w:rFonts w:ascii="Calibri" w:hAnsi="Calibri"/>
          <w:b w:val="0"/>
          <w:i w:val="0"/>
          <w:color w:val="000000"/>
          <w:sz w:val="22"/>
        </w:rPr>
        <w:t>This SOP defines routine regulated use of QCLabOne 2.0 by analysts, reviewers, supervisors and QA. Users shall perform only activities authorised by role and training.</w:t>
      </w:r>
    </w:p>
    <w:p>
      <w:pPr>
        <w:pStyle w:val="Heading1"/>
      </w:pPr>
      <w:r>
        <w:t>2. Prerequisites</w:t>
      </w:r>
    </w:p>
    <w:p>
      <w:pPr>
        <w:pStyle w:val="ListBullet"/>
        <w:spacing w:after="80" w:line="300" w:lineRule="auto"/>
      </w:pPr>
      <w:r>
        <w:rPr>
          <w:rFonts w:ascii="Calibri" w:hAnsi="Calibri"/>
          <w:color w:val="000000"/>
          <w:sz w:val="22"/>
        </w:rPr>
        <w:t>Active individual corporate account and approved application role.</w:t>
      </w:r>
    </w:p>
    <w:p>
      <w:pPr>
        <w:pStyle w:val="ListBullet"/>
        <w:spacing w:after="80" w:line="300" w:lineRule="auto"/>
      </w:pPr>
      <w:r>
        <w:rPr>
          <w:rFonts w:ascii="Calibri" w:hAnsi="Calibri"/>
          <w:color w:val="000000"/>
          <w:sz w:val="22"/>
        </w:rPr>
        <w:t>Completed role-based training and relevant laboratory qualification.</w:t>
      </w:r>
    </w:p>
    <w:p>
      <w:pPr>
        <w:pStyle w:val="ListBullet"/>
        <w:spacing w:after="80" w:line="300" w:lineRule="auto"/>
      </w:pPr>
      <w:r>
        <w:rPr>
          <w:rFonts w:ascii="Calibri" w:hAnsi="Calibri"/>
          <w:color w:val="000000"/>
          <w:sz w:val="22"/>
        </w:rPr>
        <w:t>Access to approved analytical methods and local safety procedures.</w:t>
      </w:r>
    </w:p>
    <w:p>
      <w:pPr>
        <w:pStyle w:val="ListBullet"/>
        <w:spacing w:after="80" w:line="300" w:lineRule="auto"/>
      </w:pPr>
      <w:r>
        <w:rPr>
          <w:rFonts w:ascii="Calibri" w:hAnsi="Calibri"/>
          <w:color w:val="000000"/>
          <w:sz w:val="22"/>
        </w:rPr>
        <w:t>No credential sharing, unattended signed-in session or use of another person’s account.</w:t>
      </w:r>
    </w:p>
    <w:p>
      <w:pPr>
        <w:pStyle w:val="Heading1"/>
      </w:pPr>
      <w:r>
        <w:t>3. Sample receipt and custody</w:t>
      </w:r>
    </w:p>
    <w:p>
      <w:pPr>
        <w:spacing w:after="120" w:line="300" w:lineRule="auto"/>
      </w:pPr>
      <w:r>
        <w:rPr>
          <w:rFonts w:ascii="Calibri" w:hAnsi="Calibri"/>
          <w:b w:val="0"/>
          <w:i w:val="0"/>
          <w:color w:val="000000"/>
          <w:sz w:val="22"/>
        </w:rPr>
        <w:t>1. Open the pending SAP request and verify material, batch, sample type and quantity. 2. Generate/print the QCLabOne sample label; verify readable Sample ID/barcode. 3. Record actual receipt date/time, condition, quantity, unit and location. 4. Reject or place on hold any damaged, mismatched or insufficient sample; record reason and notify supervisor. 5. Record every aliquot, transfer, return and disposal event contemporaneously.</w:t>
      </w:r>
    </w:p>
    <w:p>
      <w:pPr>
        <w:pStyle w:val="Heading1"/>
      </w:pPr>
      <w:r>
        <w:t>4. Test execution</w:t>
      </w:r>
    </w:p>
    <w:p>
      <w:pPr>
        <w:spacing w:after="120" w:line="300" w:lineRule="auto"/>
      </w:pPr>
      <w:r>
        <w:rPr>
          <w:rFonts w:ascii="Calibri" w:hAnsi="Calibri"/>
          <w:b w:val="0"/>
          <w:i w:val="0"/>
          <w:color w:val="000000"/>
          <w:sz w:val="22"/>
        </w:rPr>
        <w:t>1. Confirm the assigned test, effective specification/method and own qualification. 2. Start the approved LES; do not use an obsolete printed worksheet as the official record. 3. Select valid reagent, standard and instrument records. 4. Use direct instrument/CDS capture where configured. 5. For permitted manual entry, verify unit/context; provide reason and independent verification where required. 6. Never overwrite or conceal an original result. Use the controlled correction, invalidation or repeat workflow. 7. Electronically submit only after reviewing completeness and source references.</w:t>
      </w:r>
    </w:p>
    <w:p>
      <w:pPr>
        <w:pStyle w:val="Heading1"/>
      </w:pPr>
      <w:r>
        <w:t>5. OOS/OOT and exceptions</w:t>
      </w:r>
    </w:p>
    <w:p>
      <w:pPr>
        <w:spacing w:after="120" w:line="300" w:lineRule="auto"/>
      </w:pPr>
      <w:r>
        <w:rPr>
          <w:rFonts w:ascii="Calibri" w:hAnsi="Calibri"/>
          <w:b w:val="0"/>
          <w:i w:val="0"/>
          <w:color w:val="000000"/>
          <w:sz w:val="22"/>
        </w:rPr>
        <w:t>Do not average away, delete or replace an unexpected result. Place the test/sample on hold, retain all original data, create/link the eQMS case and follow the OOS/OOT SOP. Interface/instrument errors remain in the exception queue and are reprocessed only by authorised personnel.</w:t>
      </w:r>
    </w:p>
    <w:p>
      <w:pPr>
        <w:pStyle w:val="Heading1"/>
      </w:pPr>
      <w:r>
        <w:t>6. Review and approval</w:t>
      </w:r>
    </w:p>
    <w:p>
      <w:pPr>
        <w:spacing w:after="120" w:line="300" w:lineRule="auto"/>
      </w:pPr>
      <w:r>
        <w:rPr>
          <w:rFonts w:ascii="Calibri" w:hAnsi="Calibri"/>
          <w:b w:val="0"/>
          <w:i w:val="0"/>
          <w:color w:val="000000"/>
          <w:sz w:val="22"/>
        </w:rPr>
        <w:t>The reviewer confirms identity, method/specification version, source data/link, calculation, units, limits, exceptions, repeat rationale, relevant audit trail and signature history. The reviewer records the review decision and electronic signature. Self-approval is prohibited.</w:t>
      </w:r>
    </w:p>
    <w:p>
      <w:pPr>
        <w:pStyle w:val="Heading1"/>
      </w:pPr>
      <w:r>
        <w:t>7. Corrections</w:t>
      </w:r>
    </w:p>
    <w:p>
      <w:pPr>
        <w:spacing w:after="120" w:line="300" w:lineRule="auto"/>
      </w:pPr>
      <w:r>
        <w:rPr>
          <w:rFonts w:ascii="Calibri" w:hAnsi="Calibri"/>
          <w:b w:val="0"/>
          <w:i w:val="0"/>
          <w:color w:val="000000"/>
          <w:sz w:val="22"/>
        </w:rPr>
        <w:t>Use the application correction function. Enter an accurate reason; do not use vague text such as “error.” A critical post-signature correction invalidates affected approval and must be re-reviewed.</w:t>
      </w:r>
    </w:p>
    <w:p>
      <w:pPr>
        <w:pStyle w:val="Heading1"/>
      </w:pPr>
      <w:r>
        <w:t>8. Reports and retrieval</w:t>
      </w:r>
    </w:p>
    <w:p>
      <w:pPr>
        <w:spacing w:after="120" w:line="300" w:lineRule="auto"/>
      </w:pPr>
      <w:r>
        <w:rPr>
          <w:rFonts w:ascii="Calibri" w:hAnsi="Calibri"/>
          <w:b w:val="0"/>
          <w:i w:val="0"/>
          <w:color w:val="000000"/>
          <w:sz w:val="22"/>
        </w:rPr>
        <w:t>Generate only approved report templates for GMP use. Confirm record ID, template version, pagination and signatures. Ad hoc extracts require authorised access and preserved query criteria.</w:t>
      </w:r>
    </w:p>
    <w:p>
      <w:pPr>
        <w:pStyle w:val="Heading1"/>
      </w:pPr>
      <w:r>
        <w:t>9. Outage operation</w:t>
      </w:r>
    </w:p>
    <w:p>
      <w:pPr>
        <w:spacing w:after="120" w:line="300" w:lineRule="auto"/>
      </w:pPr>
      <w:r>
        <w:rPr>
          <w:rFonts w:ascii="Calibri" w:hAnsi="Calibri"/>
          <w:b w:val="0"/>
          <w:i w:val="0"/>
          <w:color w:val="000000"/>
          <w:sz w:val="22"/>
        </w:rPr>
        <w:t>Use only issued pre-numbered contingency forms. Record source, time, user and verifier. After restoration, enter/reconcile each item once, link the form ID and obtain independent reconciliation approval.</w:t>
      </w:r>
    </w:p>
    <w:p>
      <w:pPr>
        <w:pStyle w:val="Heading1"/>
      </w:pPr>
      <w:r>
        <w:t>10. Data-integrity prohibitions</w:t>
      </w:r>
    </w:p>
    <w:p>
      <w:pPr>
        <w:spacing w:after="120" w:line="300" w:lineRule="auto"/>
      </w:pPr>
      <w:r>
        <w:rPr>
          <w:rFonts w:ascii="Calibri" w:hAnsi="Calibri"/>
          <w:b w:val="0"/>
          <w:i w:val="0"/>
          <w:color w:val="000000"/>
          <w:sz w:val="22"/>
        </w:rPr>
        <w:t>Prohibited actions include shared accounts, backdating, trial entries in production, deleting/replacing original data, uncontrolled local copies, bypassing workflow, using unapproved calculations or asking an administrator/vendor to change production data without approved process.</w:t>
      </w:r>
    </w:p>
    <w:p>
      <w:pPr>
        <w:pStyle w:val="Heading1"/>
      </w:pPr>
      <w:r>
        <w:t>11. Records</w:t>
      </w:r>
    </w:p>
    <w:p>
      <w:pPr>
        <w:spacing w:after="120" w:line="300" w:lineRule="auto"/>
      </w:pPr>
      <w:r>
        <w:rPr>
          <w:rFonts w:ascii="Calibri" w:hAnsi="Calibri"/>
          <w:b w:val="0"/>
          <w:i w:val="0"/>
          <w:color w:val="000000"/>
          <w:sz w:val="22"/>
        </w:rPr>
        <w:t>Sample/test records, signatures, audit trail, OOS links, reports and contingency reconciliations are retained electronically according to the retention SOP.</w:t>
      </w:r>
    </w:p>
    <w:p>
      <w:pPr>
        <w:pStyle w:val="Heading1"/>
      </w:pPr>
      <w:r>
        <w:t>12. Related documents</w:t>
      </w:r>
    </w:p>
    <w:tbl>
      <w:tblPr>
        <w:tblStyle w:val="TableGrid"/>
        <w:tblW w:type="dxa" w:w="9360"/>
        <w:tblLayout w:type="fixed"/>
        <w:tblLook w:firstColumn="1" w:firstRow="1" w:lastColumn="0" w:lastRow="0" w:noHBand="0" w:noVBand="1" w:val="04A0"/>
        <w:tblInd w:w="120" w:type="dxa"/>
      </w:tblPr>
      <w:tblGrid>
        <w:gridCol w:w="2224"/>
        <w:gridCol w:w="2038"/>
        <w:gridCol w:w="5098"/>
      </w:tblGrid>
      <w:tr>
        <w:trPr>
          <w:tblHeader w:val="true"/>
        </w:trPr>
        <w:tc>
          <w:tcPr>
            <w:tcW w:type="dxa" w:w="2224"/>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Relationship</w:t>
            </w:r>
          </w:p>
        </w:tc>
        <w:tc>
          <w:tcPr>
            <w:tcW w:type="dxa" w:w="203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 ID</w:t>
            </w:r>
          </w:p>
        </w:tc>
        <w:tc>
          <w:tcPr>
            <w:tcW w:type="dxa" w:w="5098"/>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Document</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QCL-2026-IUS-001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Intended Use Statement](007_Intended_Use_Statement.md)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QCL-2026-BPD-001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Business Process Description](008_Business_Process_Description.md)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QCL-2026-URS-001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Requirements Specification](022_User_Requirements_Specification.md)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[Configuration Specification](025_Configuration_Specification.md)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QCL-2026-RCS-001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[Report and Calculation Specification](029_Report_and_Calculation_Specification.md)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QCL-2026-RAC-001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[Role and Access Control Matrix](031_Role_and_Access_Control_Matrix.md)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QCL-2026-ATS-001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[Audit Trail Specification](032_Audit_Trail_Specification.md)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QCL-2026-ESS-001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Specification](033_Electronic_Signature_Specification.md)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QCL-2026-PQ-001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[Performance Qualification and User Acceptance Test Report](050_Performance_Qualification_and_UAT_Report.md)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QCL-2026-EST-001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[Electronic Signature Test Report](055_Electronic_Signature_Test_Report.md)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SOP-QA-ATR-001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[QCLabOne 2.0 Audit Trail Review SOP](068_Audit_Trail_Review_SOP.md)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SOP-QA-ARC-001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[Data Retention, Archiving and Record Retrieval SOP](070_Data_Retention_Archiving_and_Record_Retrieval_SOP.md)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QCL-2026-TRN-001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[Training Plan, Materials and Training Record](071_Training_Plan_Materials_and_Training_Record.md)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QCL-2027-UAR-001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[User Access Request and Approval Records](078_User_Access_Request_and_Approval_Records.md)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QCL-2027-ATR-001</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[Periodic Audit Trail Review Record](081_Periodic_Audit_Trail_Review_Record.md)</w:t>
            </w:r>
          </w:p>
        </w:tc>
      </w:tr>
      <w:tr>
        <w:tc>
          <w:tcPr>
            <w:tcW w:type="dxa" w:w="2224"/>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Output</w:t>
            </w:r>
          </w:p>
        </w:tc>
        <w:tc>
          <w:tcPr>
            <w:tcW w:type="dxa" w:w="203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QCL-2027-INC-014</w:t>
            </w:r>
          </w:p>
        </w:tc>
        <w:tc>
          <w:tcPr>
            <w:tcW w:type="dxa" w:w="5098"/>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[Incident Record and Impact Assessment](085_Incident_Record_and_Impact_Assessment.md)</w:t>
            </w:r>
          </w:p>
        </w:tc>
      </w:tr>
    </w:tbl>
    <w:p>
      <w:pPr>
        <w:spacing w:after="80"/>
      </w:pPr>
    </w:p>
    <w:p>
      <w:pPr>
        <w:pStyle w:val="Heading1"/>
      </w:pPr>
      <w:r>
        <w:t>Approval record</w:t>
      </w:r>
    </w:p>
    <w:tbl>
      <w:tblPr>
        <w:tblStyle w:val="TableGrid"/>
        <w:tblW w:type="dxa" w:w="9360"/>
        <w:tblLayout w:type="fixed"/>
        <w:tblLook w:firstColumn="1" w:firstRow="1" w:lastColumn="0" w:lastRow="0" w:noHBand="0" w:noVBand="1" w:val="04A0"/>
        <w:tblInd w:w="120" w:type="dxa"/>
      </w:tblPr>
      <w:tblGrid>
        <w:gridCol w:w="3202"/>
        <w:gridCol w:w="2955"/>
        <w:gridCol w:w="3203"/>
      </w:tblGrid>
      <w:tr>
        <w:trPr>
          <w:tblHeader w:val="true"/>
        </w:trPr>
        <w:tc>
          <w:tcPr>
            <w:tcW w:type="dxa" w:w="3202"/>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Approval step</w:t>
            </w:r>
          </w:p>
        </w:tc>
        <w:tc>
          <w:tcPr>
            <w:tcW w:type="dxa" w:w="2955"/>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Role</w:t>
            </w:r>
          </w:p>
        </w:tc>
        <w:tc>
          <w:tcPr>
            <w:tcW w:type="dxa" w:w="3203"/>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Case outcome</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Prepared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Training/Procedure Owner</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Reviewed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System Owner</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Completed</w:t>
            </w:r>
          </w:p>
        </w:tc>
      </w:tr>
      <w:tr>
        <w:tc>
          <w:tcPr>
            <w:tcW w:type="dxa" w:w="3202"/>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by</w:t>
            </w:r>
          </w:p>
        </w:tc>
        <w:tc>
          <w:tcPr>
            <w:tcW w:type="dxa" w:w="2955"/>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QA Department Head</w:t>
            </w:r>
          </w:p>
        </w:tc>
        <w:tc>
          <w:tcPr>
            <w:tcW w:type="dxa" w:w="3203"/>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Approved in fictional case</w:t>
            </w:r>
          </w:p>
        </w:tc>
      </w:tr>
    </w:tbl>
    <w:p>
      <w:pPr>
        <w:spacing w:after="80"/>
      </w:pPr>
    </w:p>
    <w:p>
      <w:pPr>
        <w:pStyle w:val="Heading1"/>
      </w:pPr>
      <w:r>
        <w:t>Revision history</w:t>
      </w:r>
    </w:p>
    <w:tbl>
      <w:tblPr>
        <w:tblStyle w:val="TableGrid"/>
        <w:tblW w:type="dxa" w:w="9360"/>
        <w:tblLayout w:type="fixed"/>
        <w:tblLook w:firstColumn="1" w:firstRow="1" w:lastColumn="0" w:lastRow="0" w:noHBand="0" w:noVBand="1" w:val="04A0"/>
        <w:tblInd w:w="120" w:type="dxa"/>
      </w:tblPr>
      <w:tblGrid>
        <w:gridCol w:w="2047"/>
        <w:gridCol w:w="1462"/>
        <w:gridCol w:w="5851"/>
      </w:tblGrid>
      <w:tr>
        <w:trPr>
          <w:tblHeader w:val="true"/>
        </w:trPr>
        <w:tc>
          <w:tcPr>
            <w:tcW w:type="dxa" w:w="2047"/>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Version</w:t>
            </w:r>
          </w:p>
        </w:tc>
        <w:tc>
          <w:tcPr>
            <w:tcW w:type="dxa" w:w="1462"/>
            <w:shd w:fill="E8EEF5"/>
            <w:vAlign w:val="center"/>
            <w:tcMar>
              <w:top w:w="80" w:type="dxa"/>
              <w:bottom w:w="80" w:type="dxa"/>
              <w:start w:w="120" w:type="dxa"/>
              <w:end w:w="120" w:type="dxa"/>
            </w:tcMar>
          </w:tcPr>
          <w:p>
            <w:pPr>
              <w:spacing w:after="0" w:line="276" w:lineRule="auto"/>
              <w:jc w:val="center"/>
            </w:pPr>
            <w:r/>
            <w:r>
              <w:rPr>
                <w:rFonts w:ascii="Calibri" w:hAnsi="Calibri"/>
                <w:b/>
                <w:color w:val="000000"/>
                <w:sz w:val="19"/>
              </w:rPr>
              <w:t>Date</w:t>
            </w:r>
          </w:p>
        </w:tc>
        <w:tc>
          <w:tcPr>
            <w:tcW w:type="dxa" w:w="5851"/>
            <w:shd w:fill="E8EEF5"/>
            <w:vAlign w:val="center"/>
            <w:tcMar>
              <w:top w:w="80" w:type="dxa"/>
              <w:bottom w:w="80" w:type="dxa"/>
              <w:start w:w="120" w:type="dxa"/>
              <w:end w:w="120" w:type="dxa"/>
            </w:tcMar>
          </w:tcPr>
          <w:p>
            <w:pPr>
              <w:spacing w:after="0" w:line="276" w:lineRule="auto"/>
              <w:jc w:val="left"/>
            </w:pPr>
            <w:r/>
            <w:r>
              <w:rPr>
                <w:rFonts w:ascii="Calibri" w:hAnsi="Calibri"/>
                <w:b/>
                <w:color w:val="000000"/>
                <w:sz w:val="19"/>
              </w:rPr>
              <w:t>Change</w:t>
            </w:r>
          </w:p>
        </w:tc>
      </w:tr>
      <w:tr>
        <w:tc>
          <w:tcPr>
            <w:tcW w:type="dxa" w:w="2047"/>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1.0</w:t>
            </w:r>
          </w:p>
        </w:tc>
        <w:tc>
          <w:tcPr>
            <w:tcW w:type="dxa" w:w="1462"/>
            <w:vAlign w:val="center"/>
            <w:tcMar>
              <w:top w:w="80" w:type="dxa"/>
              <w:bottom w:w="80" w:type="dxa"/>
              <w:start w:w="120" w:type="dxa"/>
              <w:end w:w="120" w:type="dxa"/>
            </w:tcMar>
          </w:tcPr>
          <w:p>
            <w:pPr>
              <w:spacing w:after="0" w:line="276" w:lineRule="auto"/>
              <w:jc w:val="center"/>
            </w:pPr>
            <w:r/>
            <w:r>
              <w:rPr>
                <w:rFonts w:ascii="Calibri" w:hAnsi="Calibri"/>
                <w:b w:val="0"/>
                <w:color w:val="000000"/>
                <w:sz w:val="19"/>
              </w:rPr>
              <w:t>2027-05-31</w:t>
            </w:r>
          </w:p>
        </w:tc>
        <w:tc>
          <w:tcPr>
            <w:tcW w:type="dxa" w:w="5851"/>
            <w:vAlign w:val="center"/>
            <w:tcMar>
              <w:top w:w="80" w:type="dxa"/>
              <w:bottom w:w="80" w:type="dxa"/>
              <w:start w:w="120" w:type="dxa"/>
              <w:end w:w="120" w:type="dxa"/>
            </w:tcMar>
          </w:tcPr>
          <w:p>
            <w:pPr>
              <w:spacing w:after="0" w:line="276" w:lineRule="auto"/>
              <w:jc w:val="left"/>
            </w:pPr>
            <w:r/>
            <w:r>
              <w:rPr>
                <w:rFonts w:ascii="Calibri" w:hAnsi="Calibri"/>
                <w:b w:val="0"/>
                <w:color w:val="000000"/>
                <w:sz w:val="19"/>
              </w:rPr>
              <w:t>Initial approved fictional case version.</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7"/>
      </w:rPr>
      <w:t xml:space="preserve">SOP-QC-LIMS-001 | Version 1.0 | Approved in fictional case | Page </w:t>
    </w:r>
    <w:r>
      <w:fldChar w:fldCharType="begin"/>
    </w:r>
    <w:r>
      <w:instrText xml:space="preserve"> PAGE </w:instrText>
    </w:r>
    <w:r>
      <w:fldChar w:fldCharType="separate"/>
    </w:r>
    <w:r>
      <w:rPr>
        <w:rFonts w:ascii="Calibri" w:hAnsi="Calibri"/>
        <w:color w:val="595959"/>
        <w:sz w:val="18"/>
      </w:rPr>
      <w:t>1</w:t>
    </w:r>
    <w:r>
      <w:fldChar w:fldCharType="end"/>
    </w:r>
    <w:r>
      <w:rPr>
        <w:rFonts w:ascii="Calibri" w:hAnsi="Calibri"/>
        <w:color w:val="595959"/>
        <w:sz w:val="17"/>
      </w:rPr>
      <w:t xml:space="preserve"> of </w:t>
    </w:r>
    <w:r>
      <w:fldChar w:fldCharType="begin"/>
    </w:r>
    <w:r>
      <w:instrText xml:space="preserve"> NUMPAGES </w:instrText>
    </w:r>
    <w:r>
      <w:fldChar w:fldCharType="separate"/>
    </w:r>
    <w:r>
      <w:rPr>
        <w:rFonts w:ascii="Calibri" w:hAnsi="Calibri"/>
        <w:color w:val="595959"/>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7"/>
      </w:rPr>
      <w:t>QCL-2026 | QCLabOne 2.0 LIMS/LES</w:t>
    </w:r>
    <w:r>
      <w:tab/>
    </w:r>
    <w:r>
      <w:rPr>
        <w:rFonts w:ascii="Calibri" w:hAnsi="Calibri"/>
        <w:color w:val="595959"/>
        <w:sz w:val="17"/>
      </w:rPr>
      <w:t>SOP-QC-LIMS-001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QCLabOne 2.0 User Operation SOP</dc:title>
  <dc:subject>GMP CSV controlled-document conversion</dc:subject>
  <dc:creator>CSV108 Markdown DOCX Converter</dc:creator>
  <cp:keywords>CSV, GMP, validation, DOCX, controlled document</cp:keywords>
  <dc:description>Converted from CSV108 Markdown source. Requires site-specific QA review before operational use.</dc:description>
  <cp:lastModifiedBy>CSV108 Markdown DOCX Converter</cp:lastModifiedBy>
  <cp:revision>1</cp:revision>
  <dcterms:created xsi:type="dcterms:W3CDTF">2026-06-19T09:00:00Z</dcterms:created>
  <dcterms:modified xsi:type="dcterms:W3CDTF">2026-06-19T09:00:00Z</dcterms:modified>
  <cp:category>GMP CSV</cp:category>
</cp:coreProperties>
</file>