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QCLabOne 2.0 System Administration SOP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SOP-IT-LIMS-001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 and Training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2027-05-31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SOP-IT-LIMS-001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 and Training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2027-05-31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Purpose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This SOP controls QCLabOne administration, access execution, approved configuration promotion, master-data support, interface operations and technical troubleshooting.</w:t>
      </w:r>
    </w:p>
    <w:p>
      <w:pPr>
        <w:pStyle w:val="Heading1"/>
      </w:pPr>
      <w:r>
        <w:t>2. Administrative principles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Administrators execute approved requests; they do not approve their own privileged access or configuration.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Production administration uses named privileged accounts separate from ordinary user accounts.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Administrators shall not create, alter or approve QC results.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Direct database modification is prohibited except under an approved emergency recovery plan with QA oversight and documented reconciliation.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Vendor access is disabled by default and tied to a ticket/window.</w:t>
      </w:r>
    </w:p>
    <w:p>
      <w:pPr>
        <w:pStyle w:val="Heading1"/>
      </w:pPr>
      <w:r>
        <w:t>3. User access administration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1. Verify approved request, training status, manager/BPO approval and any QA approval. 2. Assign only approved role groups. 3. Perform a second-person check for privileged or high-risk roles. 4. Record actual execution date/time and administrator. 5. Disable access immediately for termination and promptly for transfer/suspension. 6. Retain evidence and include accounts in periodic review.</w:t>
      </w:r>
    </w:p>
    <w:p>
      <w:pPr>
        <w:pStyle w:val="Heading1"/>
      </w:pPr>
      <w:r>
        <w:t>4. Configuration and master-data promotion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Approved package must identify change record, source environment, version, checksum, affected URS/risk/test and rollback. A separate administrator promotes to production. Post-promotion verification confirms package/version, key controls and monitoring.</w:t>
      </w:r>
    </w:p>
    <w:p>
      <w:pPr>
        <w:pStyle w:val="Heading1"/>
      </w:pPr>
      <w:r>
        <w:t>5. Interface administration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Monitor queues and reconciliation. Do not edit message payloads in place. Reprocessing requires approved role, documented cause and audit trail. A systematic or unexplained error requires incident/problem management.</w:t>
      </w:r>
    </w:p>
    <w:p>
      <w:pPr>
        <w:pStyle w:val="Heading1"/>
      </w:pPr>
      <w:r>
        <w:t>6. Audit, logs and time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Do not disable audit trails, security logging or time synchronization. Any outage/change to these services is a potential GxP incident. Export logs through approved functions; protect copies from alteration.</w:t>
      </w:r>
    </w:p>
    <w:p>
      <w:pPr>
        <w:pStyle w:val="Heading1"/>
      </w:pPr>
      <w:r>
        <w:t>7. Backup/restore and recovery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Follow the approved operations SOP. Restore requires an authorised ticket, defined recovery point, isolated target and post-restore business/QA verification.</w:t>
      </w:r>
    </w:p>
    <w:p>
      <w:pPr>
        <w:pStyle w:val="Heading1"/>
      </w:pPr>
      <w:r>
        <w:t>8. Break-glass accounts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Two sealed accounts are held by IT Security. Use requires Incident Commander and QA approval where practicable, immediate notification, full session review and password reset/reseal. Quarterly non-production functionality check is documented.</w:t>
      </w:r>
    </w:p>
    <w:p>
      <w:pPr>
        <w:pStyle w:val="Heading1"/>
      </w:pPr>
      <w:r>
        <w:t>9.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[Configuration Specification](025_Configuration_Specification.md)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QCL-2026-IAD-001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[Infrastructure and Architecture Design](026_Infrastructure_and_Architecture_Design.md)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QCL-2026-RAC-001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[Role and Access Control Matrix](031_Role_and_Access_Control_Matrix.md)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QCL-2026-BRS-001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[Backup and Restore Specification](034_Backup_and_Restore_Specification.md)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QCL-2026-BLD-001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[Installation, Build and Configuration Record](040_Installation_Build_and_Configuration_Record.md)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QCL-2026-CIR-001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[Configuration Item and Version Register](041_Configuration_Item_and_Version_Register.md)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QCL-2026-SEC-001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[Security, Access and Segregation of Duties Test Report](053_Security_Access_and_Segregation_of_Duties_Test.md)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Summary Report](065_Validation_Summary_Report.md)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SOP-IT-LIMS-002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Operations, Maintenance, Backup, Incident, Change and Security SOP](069_Operations_Maintenance_Backup_Incident_Change_and_Security_SOP.md)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QCL-2026-HOV-001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[System Handover and Support Model](076_System_Handover_and_Support_Model.md)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QCL-2027-UAR-001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[User Access Request and Approval Records](078_User_Access_Request_and_Approval_Records.md)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QCL-2027-UAR-002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[Periodic User Access Review Report](079_Periodic_User_Access_Review_Report.md)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QCL-2027-SOD-001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[Segregation of Duties and Privileged Access Review](080_Segregation_of_Duties_and_Privileged_Access_Review.md)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QCL-2027-BML-001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[Backup Monitoring Log and Exception Record](083_Backup_Monitoring_Log_and_Exception_Record.md)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QCL-2027-RST-001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[Periodic Restore Test Report](084_Periodic_Restore_Test_Report.md)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QCL-2027-CHG-021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[Change Control Record](088_Change_Control_Record.md)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QCL-2027-CHG-021-C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[Change Implementation Verification and Closure](091_Change_Implementation_Verification_and_Closure.md)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2"/>
        <w:gridCol w:w="2955"/>
        <w:gridCol w:w="3203"/>
      </w:tblGrid>
      <w:tr>
        <w:trPr>
          <w:tblHeader w:val="true"/>
        </w:trPr>
        <w:tc>
          <w:tcPr>
            <w:tcW w:type="dxa" w:w="320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95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20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Training/Procedure Owner</w:t>
            </w:r>
          </w:p>
        </w:tc>
        <w:tc>
          <w:tcPr>
            <w:tcW w:type="dxa" w:w="3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Department Head</w:t>
            </w:r>
          </w:p>
        </w:tc>
        <w:tc>
          <w:tcPr>
            <w:tcW w:type="dxa" w:w="3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2027-05-31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SOP-IT-LIMS-001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SOP-IT-LIMS-001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QCLabOne 2.0 System Administration SOP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