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Operations, Maintenance, Backup, Incident, Change and Security SOP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SOP-IT-LIMS-002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 and Training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SOP defines integrated technical operation of QCLabOne: monitoring, maintenance, backup, incident/problem management, change/patch control and security.</w:t>
      </w:r>
    </w:p>
    <w:p>
      <w:pPr>
        <w:pStyle w:val="Heading1"/>
      </w:pPr>
      <w:r>
        <w:t>2. Routine monitoring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90"/>
        <w:gridCol w:w="2790"/>
        <w:gridCol w:w="3780"/>
      </w:tblGrid>
      <w:tr>
        <w:trPr>
          <w:tblHeader w:val="true"/>
        </w:trPr>
        <w:tc>
          <w:tcPr>
            <w:tcW w:type="dxa" w:w="2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</w:t>
            </w:r>
          </w:p>
        </w:tc>
        <w:tc>
          <w:tcPr>
            <w:tcW w:type="dxa" w:w="27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Frequency</w:t>
            </w:r>
          </w:p>
        </w:tc>
        <w:tc>
          <w:tcPr>
            <w:tcW w:type="dxa" w:w="378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Action/record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Application/interface health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Continuous; daily review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Dashboard and exception-queue review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status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Daily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Confirm required jobs; investigate failure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Certificates/secrets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Daily automated; monthly review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60/30/7-day alerts and renewal change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Capacity/performance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Weekly/monthly trend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 at 70% warning/85% critical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Security events/vulnerabilities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Continuous; daily triage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Escalate potential GxP/security impact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Time synchronization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Continuous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Incident if drift &gt;60 seconds</w:t>
            </w:r>
          </w:p>
        </w:tc>
      </w:tr>
      <w:tr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service/changes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Monthly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 notifications and SLA</w:t>
            </w:r>
          </w:p>
        </w:tc>
      </w:tr>
    </w:tbl>
    <w:p>
      <w:pPr>
        <w:spacing w:after="80"/>
      </w:pPr>
    </w:p>
    <w:p>
      <w:pPr>
        <w:pStyle w:val="Heading1"/>
      </w:pPr>
      <w:r>
        <w:t>3. Incident management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Record detection time, reporter, affected service/data, users/batches, immediate containment, continuity action, GxP/data-integrity/security impact, communications, recovery, reconciliation and closure. Potential record loss, unauthorised access, signature/audit failure or incorrect result is High priority until assessed.</w:t>
      </w:r>
    </w:p>
    <w:p>
      <w:pPr>
        <w:pStyle w:val="Heading1"/>
      </w:pPr>
      <w:r>
        <w:t>4. Problem and CAPA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Repeated or major incidents require root-cause analysis using evidence such as logs, configuration, timeline and supplier analysis. Corrective/preventive actions have owners, due dates and effectiveness checks.</w:t>
      </w:r>
    </w:p>
    <w:p>
      <w:pPr>
        <w:pStyle w:val="Heading1"/>
      </w:pPr>
      <w:r>
        <w:t>5. Change control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Before implementation, document reason, scope, impacted configuration/records/URS/risk/interfaces/SOP/training, validation strategy, rollback and approvals. Emergency changes protect service/data but require retrospective change documentation within one business day.</w:t>
      </w:r>
    </w:p>
    <w:p>
      <w:pPr>
        <w:pStyle w:val="Heading1"/>
      </w:pPr>
      <w:r>
        <w:t>6. Patch and release management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Review release notes, vulnerabilities, compatibility, data model, audit/signature effects, supplier test evidence and rollback. Test based on risk. No supplier release is promoted automatically to production.</w:t>
      </w:r>
    </w:p>
    <w:p>
      <w:pPr>
        <w:pStyle w:val="Heading1"/>
      </w:pPr>
      <w:r>
        <w:t>7. Backup and restore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Review backup logs daily and rerun failures. Perform annual application-level restore and DR exercise. Restore to production requires QA/business verification when regulated data may be affected.</w:t>
      </w:r>
    </w:p>
    <w:p>
      <w:pPr>
        <w:pStyle w:val="Heading1"/>
      </w:pPr>
      <w:r>
        <w:t>8. Security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Use least privilege, separate admin identity, just-in-time vendor access, approved secret vault, EDR, encryption and monitoring. Critical vulnerability or suspected compromise triggers the security incident process and possible system isolation.</w:t>
      </w:r>
    </w:p>
    <w:p>
      <w:pPr>
        <w:pStyle w:val="Heading1"/>
      </w:pPr>
      <w:r>
        <w:t>9.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QCL-2026-QTA-001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[Quality/Technical Agreement and Service Level Agreement](020_Quality_Technical_Agreement_and_SLA.md)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Plan](035_Business_Continuity_and_Disaster_Recovery_Plan.md)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QCL-2027-BML-001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Monitoring Log and Exception Record](083_Backup_Monitoring_Log_and_Exception_Record.md)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QCL-2027-RST-001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Restore Test Report](084_Periodic_Restore_Test_Report.md)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QCL-2027-INC-014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[Incident Record and Impact Assessment](085_Incident_Record_and_Impact_Assessment.md)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QCL-2027-PRB-006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[Problem Record and Root Cause Analysis](086_Problem_Record_and_Root_Cause_Analysis.md)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Control Record](088_Change_Control_Record.md)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QCL-2027-PAT-003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[Patch and Upgrade Impact Assessment](089_Patch_and_Upgrade_Impact_Assessment.md)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QCL-2027-REG-003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[Regression Test Plan and Report](090_Regression_Test_Plan_and_Report.md)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QCL-2027-CHG-021-C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[Change Implementation Verification and Closure](091_Change_Implementation_Verification_and_Closure.md)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QCL-2028-CVM-001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[Cybersecurity Vulnerability and Monitoring Report](094_Cybersecurity_Vulnerability_and_Monitoring_Report.md)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QCL-2028-DRE-001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[Business Continuity and Disaster Recovery Exercise Report](095_Business_Continuity_and_DR_Exercise_Report.md)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Training/Procedure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Department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2027-05-31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SOP-IT-LIMS-002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SOP-IT-LIMS-002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Operations, Maintenance, Backup, Incident, Change and Security SOP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