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Data Retention, Archiving and Record Retrieval SOP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SOP-QA-ARC-001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 and Training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SOP-QA-ARC-001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 and Training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SOP controls retention, archive transfer, integrity verification, authorised retrieval and final disposition of QCLabOne and Legacy LIMS records.</w:t>
      </w:r>
    </w:p>
    <w:p>
      <w:pPr>
        <w:pStyle w:val="Heading1"/>
      </w:pPr>
      <w:r>
        <w:t>2. Retention schedule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55"/>
        <w:gridCol w:w="3651"/>
        <w:gridCol w:w="1725"/>
        <w:gridCol w:w="1329"/>
      </w:tblGrid>
      <w:tr>
        <w:trPr>
          <w:tblHeader w:val="true"/>
        </w:trPr>
        <w:tc>
          <w:tcPr>
            <w:tcW w:type="dxa" w:w="26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Record class</w:t>
            </w:r>
          </w:p>
        </w:tc>
        <w:tc>
          <w:tcPr>
            <w:tcW w:type="dxa" w:w="36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Retention rule</w:t>
            </w:r>
          </w:p>
        </w:tc>
        <w:tc>
          <w:tcPr>
            <w:tcW w:type="dxa" w:w="172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Repository</w:t>
            </w:r>
          </w:p>
        </w:tc>
        <w:tc>
          <w:tcPr>
            <w:tcW w:type="dxa" w:w="132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Owner</w:t>
            </w:r>
          </w:p>
        </w:tc>
      </w:tr>
      <w:tr>
        <w:tc>
          <w:tcPr>
            <w:tcW w:type="dxa" w:w="26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QC sample/test/result record</w:t>
            </w:r>
          </w:p>
        </w:tc>
        <w:tc>
          <w:tcPr>
            <w:tcW w:type="dxa" w:w="36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Product/batch retention requirement; at least 1 year after expiry unless longer rule applies</w:t>
            </w:r>
          </w:p>
        </w:tc>
        <w:tc>
          <w:tcPr>
            <w:tcW w:type="dxa" w:w="17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then ArchiveVault</w:t>
            </w:r>
          </w:p>
        </w:tc>
        <w:tc>
          <w:tcPr>
            <w:tcW w:type="dxa" w:w="13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Records Owner</w:t>
            </w:r>
          </w:p>
        </w:tc>
      </w:tr>
      <w:tr>
        <w:tc>
          <w:tcPr>
            <w:tcW w:type="dxa" w:w="26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 and electronic signature</w:t>
            </w:r>
          </w:p>
        </w:tc>
        <w:tc>
          <w:tcPr>
            <w:tcW w:type="dxa" w:w="36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Same as associated record</w:t>
            </w:r>
          </w:p>
        </w:tc>
        <w:tc>
          <w:tcPr>
            <w:tcW w:type="dxa" w:w="17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With record package</w:t>
            </w:r>
          </w:p>
        </w:tc>
        <w:tc>
          <w:tcPr>
            <w:tcW w:type="dxa" w:w="13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Data Integrity</w:t>
            </w:r>
          </w:p>
        </w:tc>
      </w:tr>
      <w:tr>
        <w:tc>
          <w:tcPr>
            <w:tcW w:type="dxa" w:w="26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Specification/method/calculation version</w:t>
            </w:r>
          </w:p>
        </w:tc>
        <w:tc>
          <w:tcPr>
            <w:tcW w:type="dxa" w:w="36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 life plus related record retention</w:t>
            </w:r>
          </w:p>
        </w:tc>
        <w:tc>
          <w:tcPr>
            <w:tcW w:type="dxa" w:w="17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QCLabOne/eDMS archive</w:t>
            </w:r>
          </w:p>
        </w:tc>
        <w:tc>
          <w:tcPr>
            <w:tcW w:type="dxa" w:w="13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Master Data Owner</w:t>
            </w:r>
          </w:p>
        </w:tc>
      </w:tr>
      <w:tr>
        <w:tc>
          <w:tcPr>
            <w:tcW w:type="dxa" w:w="26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OOS/OOT link and local summary</w:t>
            </w:r>
          </w:p>
        </w:tc>
        <w:tc>
          <w:tcPr>
            <w:tcW w:type="dxa" w:w="36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Same as related test/investigation</w:t>
            </w:r>
          </w:p>
        </w:tc>
        <w:tc>
          <w:tcPr>
            <w:tcW w:type="dxa" w:w="17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+ eQMS</w:t>
            </w:r>
          </w:p>
        </w:tc>
        <w:tc>
          <w:tcPr>
            <w:tcW w:type="dxa" w:w="13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</w:t>
            </w:r>
          </w:p>
        </w:tc>
      </w:tr>
      <w:tr>
        <w:tc>
          <w:tcPr>
            <w:tcW w:type="dxa" w:w="26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messages/reconciliation</w:t>
            </w:r>
          </w:p>
        </w:tc>
        <w:tc>
          <w:tcPr>
            <w:tcW w:type="dxa" w:w="36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 years online; longer when linked to record/incident</w:t>
            </w:r>
          </w:p>
        </w:tc>
        <w:tc>
          <w:tcPr>
            <w:tcW w:type="dxa" w:w="17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Log/archive repository</w:t>
            </w:r>
          </w:p>
        </w:tc>
        <w:tc>
          <w:tcPr>
            <w:tcW w:type="dxa" w:w="13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</w:tr>
      <w:tr>
        <w:tc>
          <w:tcPr>
            <w:tcW w:type="dxa" w:w="26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Access/change/incident/backup evidence</w:t>
            </w:r>
          </w:p>
        </w:tc>
        <w:tc>
          <w:tcPr>
            <w:tcW w:type="dxa" w:w="36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life + 2 years or longer if related to GMP investigation</w:t>
            </w:r>
          </w:p>
        </w:tc>
        <w:tc>
          <w:tcPr>
            <w:tcW w:type="dxa" w:w="17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eQMS/eDMS</w:t>
            </w:r>
          </w:p>
        </w:tc>
        <w:tc>
          <w:tcPr>
            <w:tcW w:type="dxa" w:w="13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Owner/QA</w:t>
            </w:r>
          </w:p>
        </w:tc>
      </w:tr>
      <w:tr>
        <w:tc>
          <w:tcPr>
            <w:tcW w:type="dxa" w:w="26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LIMS archive</w:t>
            </w:r>
          </w:p>
        </w:tc>
        <w:tc>
          <w:tcPr>
            <w:tcW w:type="dxa" w:w="36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Original required retention by record class</w:t>
            </w:r>
          </w:p>
        </w:tc>
        <w:tc>
          <w:tcPr>
            <w:tcW w:type="dxa" w:w="17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ArchiveVault read-only</w:t>
            </w:r>
          </w:p>
        </w:tc>
        <w:tc>
          <w:tcPr>
            <w:tcW w:type="dxa" w:w="13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Records Management</w:t>
            </w:r>
          </w:p>
        </w:tc>
      </w:tr>
      <w:tr>
        <w:tc>
          <w:tcPr>
            <w:tcW w:type="dxa" w:w="26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Validation/retirement dossier index</w:t>
            </w:r>
          </w:p>
        </w:tc>
        <w:tc>
          <w:tcPr>
            <w:tcW w:type="dxa" w:w="36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Permanent index; evidence per applicable schedule</w:t>
            </w:r>
          </w:p>
        </w:tc>
        <w:tc>
          <w:tcPr>
            <w:tcW w:type="dxa" w:w="17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eDMS</w:t>
            </w:r>
          </w:p>
        </w:tc>
        <w:tc>
          <w:tcPr>
            <w:tcW w:type="dxa" w:w="13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</w:t>
            </w:r>
          </w:p>
        </w:tc>
      </w:tr>
    </w:tbl>
    <w:p>
      <w:pPr>
        <w:spacing w:after="80"/>
      </w:pPr>
    </w:p>
    <w:p>
      <w:pPr>
        <w:pStyle w:val="Heading1"/>
      </w:pPr>
      <w:r>
        <w:t>3. Archive package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 package contains PDF/A rendering where applicable, structured metadata/data, attachments, audit trail, signature manifestation, version references and SHA-256 manifest. Transfer is reconciled and the archive is read-only.</w:t>
      </w:r>
    </w:p>
    <w:p>
      <w:pPr>
        <w:pStyle w:val="Heading1"/>
      </w:pPr>
      <w:r>
        <w:t>4. Retrieval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Authorised users search by sample ID, batch, material, date, test and legacy reference. Retrieval records requester, purpose and date. Inspection requests receive complete readable copies without altering originals.</w:t>
      </w:r>
    </w:p>
    <w:p>
      <w:pPr>
        <w:pStyle w:val="Heading1"/>
      </w:pPr>
      <w:r>
        <w:t>5. Archive verification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Before source deletion or retirement, verify package counts/checksums, metadata relationships, sample retrieval, audit trail, attachments and signature context. Failures require incident/deviation and prevent decommissioning.</w:t>
      </w:r>
    </w:p>
    <w:p>
      <w:pPr>
        <w:pStyle w:val="Heading1"/>
      </w:pPr>
      <w:r>
        <w:t>6. Disposition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routine user can purge records. Final deletion after retention requires Records Management and Quality approval, legal-hold check, documented list, secure deletion evidence and inventory update.</w:t>
      </w:r>
    </w:p>
    <w:p>
      <w:pPr>
        <w:pStyle w:val="Heading1"/>
      </w:pPr>
      <w:r>
        <w:t>7.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QCL-2026-DIRA-001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Risk Assessment](012_Data_Integrity_Risk_Assessment.md)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Strategy and Plan](036_Data_Migration_Strategy_and_Plan.md)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and Data Archive Record](097_System_and_Data_Archive_Record.md)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QCL-2028-IRD-001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[Inspection Readiness Dossier and Audit Response Record](098_Inspection_Readiness_Dossier_and_Audit_Response_Record.md)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QCL-2028-LAR-001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Data Archiving and Retention Plan](102_Legacy_Data_Archiving_and_Retention_Plan.md)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Training/Procedure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Department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2027-05-31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SOP-QA-ARC-001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SOP-QA-ARC-001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Retention, Archiving and Record Retrieval SOP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