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Production Data Migration Execution and Reconciliation Record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QCL-2026-PDM-001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Release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2027-06-15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QCL-2026-PDM-001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Release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2027-06-15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Execution window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Final extraction began 2027-06-14 18:32 CST. Load completed 2027-06-15 02:18. Reconciliation and business verification completed 06:25.</w:t>
      </w:r>
    </w:p>
    <w:p>
      <w:pPr>
        <w:pStyle w:val="Heading1"/>
      </w:pPr>
      <w:r>
        <w:t>2. Production reconciliation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18"/>
        <w:gridCol w:w="1283"/>
        <w:gridCol w:w="2139"/>
        <w:gridCol w:w="2941"/>
        <w:gridCol w:w="1179"/>
      </w:tblGrid>
      <w:tr>
        <w:trPr>
          <w:tblHeader w:val="true"/>
        </w:trPr>
        <w:tc>
          <w:tcPr>
            <w:tcW w:type="dxa" w:w="181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Data set</w:t>
            </w:r>
          </w:p>
        </w:tc>
        <w:tc>
          <w:tcPr>
            <w:tcW w:type="dxa" w:w="128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Source count</w:t>
            </w:r>
          </w:p>
        </w:tc>
        <w:tc>
          <w:tcPr>
            <w:tcW w:type="dxa" w:w="213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Target/archive count</w:t>
            </w:r>
          </w:p>
        </w:tc>
        <w:tc>
          <w:tcPr>
            <w:tcW w:type="dxa" w:w="294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Difference/disposition</w:t>
            </w:r>
          </w:p>
        </w:tc>
        <w:tc>
          <w:tcPr>
            <w:tcW w:type="dxa" w:w="117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Result</w:t>
            </w:r>
          </w:p>
        </w:tc>
      </w:tr>
      <w:tr>
        <w:tc>
          <w:tcPr>
            <w:tcW w:type="dxa" w:w="18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Legacy sample records</w:t>
            </w:r>
          </w:p>
        </w:tc>
        <w:tc>
          <w:tcPr>
            <w:tcW w:type="dxa" w:w="1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86,742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86,742</w:t>
            </w:r>
          </w:p>
        </w:tc>
        <w:tc>
          <w:tcPr>
            <w:tcW w:type="dxa" w:w="29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100%</w:t>
            </w:r>
          </w:p>
        </w:tc>
      </w:tr>
      <w:tr>
        <w:tc>
          <w:tcPr>
            <w:tcW w:type="dxa" w:w="18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Legacy result records</w:t>
            </w:r>
          </w:p>
        </w:tc>
        <w:tc>
          <w:tcPr>
            <w:tcW w:type="dxa" w:w="1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326,115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326,115</w:t>
            </w:r>
          </w:p>
        </w:tc>
        <w:tc>
          <w:tcPr>
            <w:tcW w:type="dxa" w:w="29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100%</w:t>
            </w:r>
          </w:p>
        </w:tc>
      </w:tr>
      <w:tr>
        <w:tc>
          <w:tcPr>
            <w:tcW w:type="dxa" w:w="18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Attachments</w:t>
            </w:r>
          </w:p>
        </w:tc>
        <w:tc>
          <w:tcPr>
            <w:tcW w:type="dxa" w:w="1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24,806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24,806</w:t>
            </w:r>
          </w:p>
        </w:tc>
        <w:tc>
          <w:tcPr>
            <w:tcW w:type="dxa" w:w="29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0; 312 names normalized with original metadata retained</w:t>
            </w:r>
          </w:p>
        </w:tc>
        <w:tc>
          <w:tcPr>
            <w:tcW w:type="dxa" w:w="1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100% hashes match</w:t>
            </w:r>
          </w:p>
        </w:tc>
      </w:tr>
      <w:tr>
        <w:tc>
          <w:tcPr>
            <w:tcW w:type="dxa" w:w="18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Active stability pulls</w:t>
            </w:r>
          </w:p>
        </w:tc>
        <w:tc>
          <w:tcPr>
            <w:tcW w:type="dxa" w:w="1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1,984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1,984</w:t>
            </w:r>
          </w:p>
        </w:tc>
        <w:tc>
          <w:tcPr>
            <w:tcW w:type="dxa" w:w="29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100%</w:t>
            </w:r>
          </w:p>
        </w:tc>
      </w:tr>
      <w:tr>
        <w:tc>
          <w:tcPr>
            <w:tcW w:type="dxa" w:w="18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Controlled spreadsheet active rows</w:t>
            </w:r>
          </w:p>
        </w:tc>
        <w:tc>
          <w:tcPr>
            <w:tcW w:type="dxa" w:w="1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14,228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14,224</w:t>
            </w:r>
          </w:p>
        </w:tc>
        <w:tc>
          <w:tcPr>
            <w:tcW w:type="dxa" w:w="29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 approved exclusions: cancelled duplicate rows</w:t>
            </w:r>
          </w:p>
        </w:tc>
        <w:tc>
          <w:tcPr>
            <w:tcW w:type="dxa" w:w="1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100% explained</w:t>
            </w:r>
          </w:p>
        </w:tc>
      </w:tr>
      <w:tr>
        <w:tc>
          <w:tcPr>
            <w:tcW w:type="dxa" w:w="18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Legacy audit events in archive</w:t>
            </w:r>
          </w:p>
        </w:tc>
        <w:tc>
          <w:tcPr>
            <w:tcW w:type="dxa" w:w="1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1,482,610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1,482,610</w:t>
            </w:r>
          </w:p>
        </w:tc>
        <w:tc>
          <w:tcPr>
            <w:tcW w:type="dxa" w:w="29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100%</w:t>
            </w:r>
          </w:p>
        </w:tc>
      </w:tr>
      <w:tr>
        <w:tc>
          <w:tcPr>
            <w:tcW w:type="dxa" w:w="18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Archive record packages</w:t>
            </w:r>
          </w:p>
        </w:tc>
        <w:tc>
          <w:tcPr>
            <w:tcW w:type="dxa" w:w="12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112,604</w:t>
            </w:r>
          </w:p>
        </w:tc>
        <w:tc>
          <w:tcPr>
            <w:tcW w:type="dxa" w:w="21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112,604</w:t>
            </w:r>
          </w:p>
        </w:tc>
        <w:tc>
          <w:tcPr>
            <w:tcW w:type="dxa" w:w="29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100% manifest/checksum</w:t>
            </w:r>
          </w:p>
        </w:tc>
      </w:tr>
    </w:tbl>
    <w:p>
      <w:pPr>
        <w:spacing w:after="80"/>
      </w:pPr>
    </w:p>
    <w:p>
      <w:pPr>
        <w:pStyle w:val="Heading1"/>
      </w:pPr>
      <w:r>
        <w:t>3. Critical-field verification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All migrated active records were automatically checked for Sample ID/legacy reference, material, batch, test, result, unit, status, specification/method version, source record, approval metadata and relationships. A business sample of 500 records was independently compared; no mismatch was found.</w:t>
      </w:r>
    </w:p>
    <w:p>
      <w:pPr>
        <w:pStyle w:val="Heading1"/>
      </w:pPr>
      <w:r>
        <w:t>4. Exceptions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Four cancelled duplicate spreadsheet rows were excluded under approved EXC-MIG-017 and retained in the source archive. No critical/high exception remained. Filename normalization followed MAP-2.3 and preserved original names.</w:t>
      </w:r>
    </w:p>
    <w:p>
      <w:pPr>
        <w:pStyle w:val="Heading1"/>
      </w:pPr>
      <w:r>
        <w:t>5. Acceptance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QC Data Owner, Migration Lead, Records Management and QA accepted the production migration at 07:05 CST. Legacy LIMS remained read-only for verification/retirement.</w:t>
      </w: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Strategy and Plan](036_Data_Migration_Strategy_and_Plan.md)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Mapping, Cleansing and Transformation Specification](037_Data_Mapping_Cleansing_and_Transformation_Specification.md)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Test and Reconciliation Report](052_Data_Migration_Test_and_Reconciliation_Report.md)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QCL-2026-DEV-001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Deviation Log and Investigation Report](061_Validation_Deviation_Log_and_Investigation_Report.md)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QCL-2026-CUT-001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[Cutover, Rollback and Contingency Plan](072_Cutover_Rollback_and_Contingency_Plan.md)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QCL-2026-PRC-001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Readiness Checklist](074_Production_Readiness_Checklist.md)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QCL-2026-GLA-001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[Go-Live and Production Release Approval](075_Go_Live_and_Production_Release_Approval.md)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QCL-2028-ARC-001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and Data Archive Record](097_System_and_Data_Archive_Record.md)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QCL-2028-LAR-001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Data Archiving and Retention Plan](102_Legacy_Data_Archiving_and_Retention_Plan.md)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QCL-2028-AVR-001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Archive Verification and Retrievability Report](103_Legacy_Archive_Verification_and_Retrievability_Report.md)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Quality Head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2027-06-15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QCL-2026-PDM-001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QCL-2026-PDM-001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 Data Migration Execution and Reconciliation Record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