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Production Readiness Checklist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Production readiness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8"/>
        <w:gridCol w:w="5418"/>
        <w:gridCol w:w="1184"/>
      </w:tblGrid>
      <w:tr>
        <w:trPr>
          <w:tblHeader w:val="true"/>
        </w:trPr>
        <w:tc>
          <w:tcPr>
            <w:tcW w:type="dxa" w:w="27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Readiness item</w:t>
            </w:r>
          </w:p>
        </w:tc>
        <w:tc>
          <w:tcPr>
            <w:tcW w:type="dxa" w:w="541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Evidence/criterion</w:t>
            </w:r>
          </w:p>
        </w:tc>
        <w:tc>
          <w:tcPr>
            <w:tcW w:type="dxa" w:w="11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VSR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 approved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Final RTM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72/72 requirements pass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Defects/deviations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open Critical/High; all validation deviations closed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migration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Counts/critical fields/attachments accepted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SOPs effective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Documents 066–070 effective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97/97 required users complete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baseline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Version/configuration/checksum verified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Access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access requests approved; privileged roles independently checked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Interfaces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SAP/eQMS/CDS/instruments smoke tests pass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Backup/DR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production backup successful; tested recovery evidence available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Support/hypercare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Roster, escalation and supplier contacts active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continuity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LIMS read-only and archive/retirement plan active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2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quality/system issues</w:t>
            </w:r>
          </w:p>
        </w:tc>
        <w:tc>
          <w:tcPr>
            <w:tcW w:type="dxa" w:w="5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None preventing release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</w:tbl>
    <w:p>
      <w:pPr>
        <w:spacing w:after="80"/>
      </w:pPr>
    </w:p>
    <w:p>
      <w:pPr>
        <w:pStyle w:val="Heading1"/>
      </w:pPr>
      <w:r>
        <w:t>2. Open items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Two low-priority post-go-live enhancements were recorded outside release scope: optional dashboard colour preference and a non-GMP export shortcut. Neither affects intended use or control; both require normal change control if pursued.</w:t>
      </w:r>
    </w:p>
    <w:p>
      <w:pPr>
        <w:pStyle w:val="Heading1"/>
      </w:pPr>
      <w:r>
        <w:t>3. Readiness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mandatory release criteria are complete. The System Owner recommends go-live; the BPO confirms business readiness; QA confirms no quality objection.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Retention, Archiving and Record Retrieval SOP](070_Data_Retention_Archiving_and_Record_Retrieval_SOP.md)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[Cutover, Rollback and Contingency Plan](072_Cutover_Rollback_and_Contingency_Plan.md)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QCL-2026-PRC-001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QCL-2026-PRC-001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Readiness Checklist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