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Go-Live and Production Release Approval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Release decision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On 2027-06-15 at 08:20 CST, the Go-Live Board reviewed the readiness checklist, migration reconciliation, production smoke tests, baseline and open-item assessment.</w:t>
      </w:r>
    </w:p>
    <w:p>
      <w:pPr>
        <w:pStyle w:val="Heading1"/>
      </w:pPr>
      <w:r>
        <w:t>2. Decision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4"/>
        <w:gridCol w:w="6356"/>
      </w:tblGrid>
      <w:tr>
        <w:trPr>
          <w:tblHeader w:val="true"/>
        </w:trPr>
        <w:tc>
          <w:tcPr>
            <w:tcW w:type="dxa" w:w="300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Decision role</w:t>
            </w:r>
          </w:p>
        </w:tc>
        <w:tc>
          <w:tcPr>
            <w:tcW w:type="dxa" w:w="635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Decision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accepted for production use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Technical service, support and baseline ready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Validation conditions satisfied; no unacceptable residual GxP risk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Operations Manager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Monitoring, backup, security and incident support active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archive/retention controls active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 Sponsor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Authorises production start</w:t>
            </w:r>
          </w:p>
        </w:tc>
      </w:tr>
    </w:tbl>
    <w:p>
      <w:pPr>
        <w:spacing w:after="80"/>
      </w:pPr>
    </w:p>
    <w:p>
      <w:pPr>
        <w:pStyle w:val="Heading1"/>
      </w:pPr>
      <w:r>
        <w:t>3. Authorised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Production release covers the modules, interfaces, users, site and data described in the approved Scope Statement and Production Baseline. Deferred/global/mobile functionality is not authorised.</w:t>
      </w:r>
    </w:p>
    <w:p>
      <w:pPr>
        <w:pStyle w:val="Heading1"/>
      </w:pPr>
      <w:r>
        <w:t>4. Conditions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Legacy LIMS remains read-only until archive verification and retirement approval. Hypercare metrics are reviewed daily for four weeks. Any potential data-integrity, signature, audit-trail or migration issue is escalated immediately.</w:t>
      </w:r>
    </w:p>
    <w:p>
      <w:pPr>
        <w:pStyle w:val="Heading1"/>
      </w:pPr>
      <w:r>
        <w:t>5. Effective production time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User access and interfaces were enabled 2027-06-15 at 09:00 CST. First SAP sample request was accepted at 09:07 and completed without issue.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Readiness Checklist](074_Production_Readiness_Checklist.md)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Handover and Support Model](076_System_Handover_and_Support_Model.md)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Access Request and Approval Records](078_User_Access_Request_and_Approval_Records.md)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QCL-2026-GLA-001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QCL-2026-GLA-001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Go-Live and Production Release Approval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