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System Handover and Support Model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Handover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project transfers the approved production service, documents, configuration, monitoring, support knowledge and outstanding lifecycle obligations to operations.</w:t>
      </w:r>
    </w:p>
    <w:p>
      <w:pPr>
        <w:pStyle w:val="Heading1"/>
      </w:pPr>
      <w:r>
        <w:t>2. Support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84"/>
        <w:gridCol w:w="3455"/>
        <w:gridCol w:w="1507"/>
        <w:gridCol w:w="1794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Level</w:t>
            </w:r>
          </w:p>
        </w:tc>
        <w:tc>
          <w:tcPr>
            <w:tcW w:type="dxa" w:w="18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Function</w:t>
            </w:r>
          </w:p>
        </w:tc>
        <w:tc>
          <w:tcPr>
            <w:tcW w:type="dxa" w:w="34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Scope</w:t>
            </w:r>
          </w:p>
        </w:tc>
        <w:tc>
          <w:tcPr>
            <w:tcW w:type="dxa" w:w="150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17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Coverage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L0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job aids/local super-user</w:t>
            </w:r>
          </w:p>
        </w:tc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Navigation and known procedural questions</w:t>
            </w:r>
          </w:p>
        </w:tc>
        <w:tc>
          <w:tcPr>
            <w:tcW w:type="dxa" w:w="1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Super Users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Business hours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L1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Service desk</w:t>
            </w:r>
          </w:p>
        </w:tc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Ticket logging, triage, password/known issue routing</w:t>
            </w:r>
          </w:p>
        </w:tc>
        <w:tc>
          <w:tcPr>
            <w:tcW w:type="dxa" w:w="1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 Service Desk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24×7 P1; business hours others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L2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Application/Interface support</w:t>
            </w:r>
          </w:p>
        </w:tc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Application, queue, configuration, logs, restore coordination</w:t>
            </w:r>
          </w:p>
        </w:tc>
        <w:tc>
          <w:tcPr>
            <w:tcW w:type="dxa" w:w="1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Owner/IT App Team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On-call P1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L3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support</w:t>
            </w:r>
          </w:p>
        </w:tc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 defect, cloud platform, code and advanced recovery</w:t>
            </w:r>
          </w:p>
        </w:tc>
        <w:tc>
          <w:tcPr>
            <w:tcW w:type="dxa" w:w="1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LabSphere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 SLA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Quality oversight</w:t>
            </w:r>
          </w:p>
        </w:tc>
        <w:tc>
          <w:tcPr>
            <w:tcW w:type="dxa" w:w="3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GxP impact, deviation/change/CAPA and release decisions</w:t>
            </w:r>
          </w:p>
        </w:tc>
        <w:tc>
          <w:tcPr>
            <w:tcW w:type="dxa" w:w="1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</w:t>
            </w:r>
          </w:p>
        </w:tc>
        <w:tc>
          <w:tcPr>
            <w:tcW w:type="dxa" w:w="1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On-call escalation</w:t>
            </w:r>
          </w:p>
        </w:tc>
      </w:tr>
    </w:tbl>
    <w:p>
      <w:pPr>
        <w:spacing w:after="80"/>
      </w:pPr>
    </w:p>
    <w:p>
      <w:pPr>
        <w:pStyle w:val="Heading1"/>
      </w:pPr>
      <w:r>
        <w:t>3. Handover items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Production/admin URLs; configuration baseline; CI register; interface/monitoring dashboards; backup/DR runbooks; supplier contacts; certificates/secrets inventory; access groups; known-error list; SOPs; training records; validation dossier; migration/archive status; periodic review schedule.</w:t>
      </w:r>
    </w:p>
    <w:p>
      <w:pPr>
        <w:pStyle w:val="Heading1"/>
      </w:pPr>
      <w:r>
        <w:t>4. Escalation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P1 or potential GxP/data-integrity/security events contact IT Duty Manager, System Owner, QC BPO, QA and Supplier Incident Commander immediately. Service desk must not close a ticket solely because a workaround exists without GxP assessment.</w:t>
      </w:r>
    </w:p>
    <w:p>
      <w:pPr>
        <w:pStyle w:val="Heading1"/>
      </w:pPr>
      <w:r>
        <w:t>5. Hypercare exit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Hypercare ended 2027-07-14 after four weeks with no Critical/High incident, queues reconciled daily, backups successful, response time within target and user support volume reduced to steady state.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QCL-2026-CUT-001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[Cutover, Rollback and Contingency Plan](072_Cutover_Rollback_and_Contingency_Plan.md)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Readiness Checklist](074_Production_Readiness_Checklist.md)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[Problem Record and Root Cause Analysis](086_Problem_Record_and_Root_Cause_Analysis.md)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Control Record](088_Change_Control_Record.md)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QCL-2026-HOV-001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QCL-2026-HOV-001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Handover and Support Model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