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Periodic User Access Review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period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2027-06-15 through 2027-09-30. The review compared QCLabOne users/roles with HR status, department ownership, training, approved requests and privileged-access records.</w:t>
      </w:r>
    </w:p>
    <w:p>
      <w:pPr>
        <w:pStyle w:val="Heading1"/>
      </w:pPr>
      <w:r>
        <w:t>2. Review summary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858"/>
        <w:gridCol w:w="4722"/>
        <w:gridCol w:w="1548"/>
      </w:tblGrid>
      <w:tr>
        <w:trPr>
          <w:tblHeader w:val="true"/>
        </w:trPr>
        <w:tc>
          <w:tcPr>
            <w:tcW w:type="dxa" w:w="22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Population</w:t>
            </w:r>
          </w:p>
        </w:tc>
        <w:tc>
          <w:tcPr>
            <w:tcW w:type="dxa" w:w="8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Count</w:t>
            </w:r>
          </w:p>
        </w:tc>
        <w:tc>
          <w:tcPr>
            <w:tcW w:type="dxa" w:w="472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Review result</w:t>
            </w:r>
          </w:p>
        </w:tc>
        <w:tc>
          <w:tcPr>
            <w:tcW w:type="dxa" w:w="154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Exception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Active named users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102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102 matched HR/department/training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Disabled/terminated users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 disabled within required time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Privileged users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 justified and independently approved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accounts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disabled except approved session windows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 accounts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Owners current; non-interactive; secrets within rotation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Break-glass accounts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Sealed; no use; quarterly test documented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changes since go-live</w:t>
            </w:r>
          </w:p>
        </w:tc>
        <w:tc>
          <w:tcPr>
            <w:tcW w:type="dxa" w:w="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47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 correct; 1 deviation ODV-004 addressed</w:t>
            </w:r>
          </w:p>
        </w:tc>
        <w:tc>
          <w:tcPr>
            <w:tcW w:type="dxa" w:w="15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 closed</w:t>
            </w:r>
          </w:p>
        </w:tc>
      </w:tr>
    </w:tbl>
    <w:p>
      <w:pPr>
        <w:spacing w:after="80"/>
      </w:pPr>
    </w:p>
    <w:p>
      <w:pPr>
        <w:pStyle w:val="Heading1"/>
      </w:pPr>
      <w:r>
        <w:t>3. Actions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ODV-004 role-assignment deviation was already contained and closed. Two users due to transfer on 2027-10-01 were scheduled for role change before effective transfer. No orphan, shared or unjustified standing vendor account was identified.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Access remains appropriate and current. Next all-user review is due 2027-12-31; privileged-account review remains monthly.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QCL-2027-UAR-002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QCL-2027-UAR-002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Periodic User Access Review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