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595959"/>
          <w:sz w:val="19"/>
        </w:rPr>
        <w:t>GMP CSV Controlled Document</w:t>
      </w:r>
    </w:p>
    <w:p>
      <w:pPr>
        <w:spacing w:after="80"/>
      </w:pPr>
      <w:r>
        <w:rPr>
          <w:rFonts w:ascii="Calibri" w:hAnsi="Calibri"/>
          <w:b/>
          <w:color w:val="0B2545"/>
          <w:sz w:val="44"/>
        </w:rPr>
        <w:t>Segregation of Duties and Privileged Access Review</w:t>
      </w:r>
    </w:p>
    <w:p>
      <w:pPr>
        <w:spacing w:after="200"/>
      </w:pPr>
      <w:r>
        <w:rPr>
          <w:rFonts w:ascii="Calibri" w:hAnsi="Calibri"/>
          <w:color w:val="595959"/>
          <w:sz w:val="23"/>
        </w:rPr>
        <w:t>QCLabOne 2.0 QC Laboratory Digital Platform Replacement Project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shd w:fill="D9EA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Control Field</w:t>
            </w:r>
          </w:p>
        </w:tc>
        <w:tc>
          <w:tcPr>
            <w:tcW w:type="dxa" w:w="6660"/>
            <w:shd w:fill="D9EA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 number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QCL-2027-SOD-001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System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LIMS/LES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Lifecycle phase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Operation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Version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Effective/record date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2027-09-30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Status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Completed/Closed in fictional operating record</w:t>
            </w:r>
          </w:p>
        </w:tc>
      </w:tr>
    </w:tbl>
    <w:p>
      <w:pPr>
        <w:spacing w:after="8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595959"/>
                <w:sz w:val="19"/>
              </w:rPr>
              <w:t>Use notice: This Markdown file is a fully populated fictional CSV training case. It is not an executed GMP record and does not replace company procedures, approved signatures, supplier evidence, or site-specific risk decisions.</w:t>
            </w:r>
          </w:p>
        </w:tc>
      </w:tr>
    </w:tbl>
    <w:p>
      <w:pPr>
        <w:spacing w:after="80"/>
      </w:pPr>
    </w:p>
    <w:p>
      <w:pPr>
        <w:pStyle w:val="Heading1"/>
      </w:pPr>
      <w:r>
        <w:t>Document control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586"/>
        <w:gridCol w:w="6774"/>
      </w:tblGrid>
      <w:tr>
        <w:trPr>
          <w:tblHeader w:val="true"/>
        </w:trPr>
        <w:tc>
          <w:tcPr>
            <w:tcW w:type="dxa" w:w="2586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Field</w:t>
            </w:r>
          </w:p>
        </w:tc>
        <w:tc>
          <w:tcPr>
            <w:tcW w:type="dxa" w:w="677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Document number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QCL-2027-SOD-001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Company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NovaSterile Pharma Co., Ltd.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Site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Suzhou Sterile Products Manufacturing Site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Project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QC Laboratory Digital Platform Replacement Project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System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LIMS/LES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Lifecycle phase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Operation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Version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Effective/record date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2027-09-30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Case status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Completed/Closed in fictional operating record</w:t>
            </w:r>
          </w:p>
        </w:tc>
      </w:tr>
    </w:tbl>
    <w:p>
      <w:pPr>
        <w:spacing w:after="80"/>
      </w:pPr>
    </w:p>
    <w:p>
      <w:pPr>
        <w:pStyle w:val="Heading1"/>
      </w:pPr>
      <w:r>
        <w:t>Governing references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China GMP (2010 Revision), Appendix: Computerised Systems (effective 1 December 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China GMP (2010 Revision), Appendix: Qualification and Validation (effective 1 December 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EU GMP Annex 11: Computerised Systems (2011)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EU GMP Annex 15: Qualification and Validation (2015)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21 CFR Part 11: Electronic Records; Electronic Signatures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FDA Guidance: Part 11, Electronic Records; Electronic Signatures — Scope and Application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PIC/S PI 041-1: Good Practices for Data Management and Integrity in Regulated GMP/GDP Environments (2021)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ISPE GAMP 5, Second Edition (2022), used as non-binding industry guidance</w:t>
      </w:r>
    </w:p>
    <w:p>
      <w:pPr>
        <w:pStyle w:val="Heading1"/>
      </w:pPr>
      <w:r>
        <w:t>1. Scope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Review of privileged roles, conflicting permission combinations, vendor accounts, service accounts and break-glass accounts as of 2027-09-30.</w:t>
      </w:r>
    </w:p>
    <w:p>
      <w:pPr>
        <w:pStyle w:val="Heading1"/>
      </w:pPr>
      <w:r>
        <w:t>2. Review results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367"/>
        <w:gridCol w:w="1051"/>
        <w:gridCol w:w="2892"/>
        <w:gridCol w:w="2892"/>
        <w:gridCol w:w="1158"/>
      </w:tblGrid>
      <w:tr>
        <w:trPr>
          <w:tblHeader w:val="true"/>
        </w:trPr>
        <w:tc>
          <w:tcPr>
            <w:tcW w:type="dxa" w:w="1367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7"/>
              </w:rPr>
              <w:t>Account/group</w:t>
            </w:r>
          </w:p>
        </w:tc>
        <w:tc>
          <w:tcPr>
            <w:tcW w:type="dxa" w:w="1051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7"/>
              </w:rPr>
              <w:t>Role</w:t>
            </w:r>
          </w:p>
        </w:tc>
        <w:tc>
          <w:tcPr>
            <w:tcW w:type="dxa" w:w="289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7"/>
              </w:rPr>
              <w:t>Expected segregation</w:t>
            </w:r>
          </w:p>
        </w:tc>
        <w:tc>
          <w:tcPr>
            <w:tcW w:type="dxa" w:w="289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7"/>
              </w:rPr>
              <w:t>Finding</w:t>
            </w:r>
          </w:p>
        </w:tc>
        <w:tc>
          <w:tcPr>
            <w:tcW w:type="dxa" w:w="115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7"/>
              </w:rPr>
              <w:t>Disposition</w:t>
            </w:r>
          </w:p>
        </w:tc>
      </w:tr>
      <w:tr>
        <w:tc>
          <w:tcPr>
            <w:tcW w:type="dxa" w:w="136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SYS-ADM-001</w:t>
            </w:r>
          </w:p>
        </w:tc>
        <w:tc>
          <w:tcPr>
            <w:tcW w:type="dxa" w:w="105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System Administrator</w:t>
            </w:r>
          </w:p>
        </w:tc>
        <w:tc>
          <w:tcPr>
            <w:tcW w:type="dxa" w:w="28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No QC approval</w:t>
            </w:r>
          </w:p>
        </w:tc>
        <w:tc>
          <w:tcPr>
            <w:tcW w:type="dxa" w:w="28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No conflict</w:t>
            </w:r>
          </w:p>
        </w:tc>
        <w:tc>
          <w:tcPr>
            <w:tcW w:type="dxa" w:w="115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Accept</w:t>
            </w:r>
          </w:p>
        </w:tc>
      </w:tr>
      <w:tr>
        <w:tc>
          <w:tcPr>
            <w:tcW w:type="dxa" w:w="136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SYS-ADM-002</w:t>
            </w:r>
          </w:p>
        </w:tc>
        <w:tc>
          <w:tcPr>
            <w:tcW w:type="dxa" w:w="105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System Administrator</w:t>
            </w:r>
          </w:p>
        </w:tc>
        <w:tc>
          <w:tcPr>
            <w:tcW w:type="dxa" w:w="28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No QC approval</w:t>
            </w:r>
          </w:p>
        </w:tc>
        <w:tc>
          <w:tcPr>
            <w:tcW w:type="dxa" w:w="28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No conflict</w:t>
            </w:r>
          </w:p>
        </w:tc>
        <w:tc>
          <w:tcPr>
            <w:tcW w:type="dxa" w:w="115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Accept</w:t>
            </w:r>
          </w:p>
        </w:tc>
      </w:tr>
      <w:tr>
        <w:tc>
          <w:tcPr>
            <w:tcW w:type="dxa" w:w="136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IT-SUP-001</w:t>
            </w:r>
          </w:p>
        </w:tc>
        <w:tc>
          <w:tcPr>
            <w:tcW w:type="dxa" w:w="105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IT Support</w:t>
            </w:r>
          </w:p>
        </w:tc>
        <w:tc>
          <w:tcPr>
            <w:tcW w:type="dxa" w:w="28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No application content edit/approval</w:t>
            </w:r>
          </w:p>
        </w:tc>
        <w:tc>
          <w:tcPr>
            <w:tcW w:type="dxa" w:w="28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No conflict</w:t>
            </w:r>
          </w:p>
        </w:tc>
        <w:tc>
          <w:tcPr>
            <w:tcW w:type="dxa" w:w="115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Accept</w:t>
            </w:r>
          </w:p>
        </w:tc>
      </w:tr>
      <w:tr>
        <w:tc>
          <w:tcPr>
            <w:tcW w:type="dxa" w:w="136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QA-REV-001</w:t>
            </w:r>
          </w:p>
        </w:tc>
        <w:tc>
          <w:tcPr>
            <w:tcW w:type="dxa" w:w="105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QA Reviewer</w:t>
            </w:r>
          </w:p>
        </w:tc>
        <w:tc>
          <w:tcPr>
            <w:tcW w:type="dxa" w:w="28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No admin/config promotion</w:t>
            </w:r>
          </w:p>
        </w:tc>
        <w:tc>
          <w:tcPr>
            <w:tcW w:type="dxa" w:w="28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No conflict</w:t>
            </w:r>
          </w:p>
        </w:tc>
        <w:tc>
          <w:tcPr>
            <w:tcW w:type="dxa" w:w="115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Accept</w:t>
            </w:r>
          </w:p>
        </w:tc>
      </w:tr>
      <w:tr>
        <w:tc>
          <w:tcPr>
            <w:tcW w:type="dxa" w:w="136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MD-STW-001</w:t>
            </w:r>
          </w:p>
        </w:tc>
        <w:tc>
          <w:tcPr>
            <w:tcW w:type="dxa" w:w="105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Master Data Steward</w:t>
            </w:r>
          </w:p>
        </w:tc>
        <w:tc>
          <w:tcPr>
            <w:tcW w:type="dxa" w:w="28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Cannot approve own item/effective promotion</w:t>
            </w:r>
          </w:p>
        </w:tc>
        <w:tc>
          <w:tcPr>
            <w:tcW w:type="dxa" w:w="28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No conflict</w:t>
            </w:r>
          </w:p>
        </w:tc>
        <w:tc>
          <w:tcPr>
            <w:tcW w:type="dxa" w:w="115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Accept</w:t>
            </w:r>
          </w:p>
        </w:tc>
      </w:tr>
      <w:tr>
        <w:tc>
          <w:tcPr>
            <w:tcW w:type="dxa" w:w="136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VND-SUP-001/2/3</w:t>
            </w:r>
          </w:p>
        </w:tc>
        <w:tc>
          <w:tcPr>
            <w:tcW w:type="dxa" w:w="105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Vendor Support</w:t>
            </w:r>
          </w:p>
        </w:tc>
        <w:tc>
          <w:tcPr>
            <w:tcW w:type="dxa" w:w="28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Disabled by default; no QC approval</w:t>
            </w:r>
          </w:p>
        </w:tc>
        <w:tc>
          <w:tcPr>
            <w:tcW w:type="dxa" w:w="28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No standing conflict</w:t>
            </w:r>
          </w:p>
        </w:tc>
        <w:tc>
          <w:tcPr>
            <w:tcW w:type="dxa" w:w="115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Accept</w:t>
            </w:r>
          </w:p>
        </w:tc>
      </w:tr>
      <w:tr>
        <w:tc>
          <w:tcPr>
            <w:tcW w:type="dxa" w:w="136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QC-ANL-017</w:t>
            </w:r>
          </w:p>
        </w:tc>
        <w:tc>
          <w:tcPr>
            <w:tcW w:type="dxa" w:w="105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Analyst</w:t>
            </w:r>
          </w:p>
        </w:tc>
        <w:tc>
          <w:tcPr>
            <w:tcW w:type="dxa" w:w="28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Erroneously received SuperUser for 47 min on 2027-08-22</w:t>
            </w:r>
          </w:p>
        </w:tc>
        <w:tc>
          <w:tcPr>
            <w:tcW w:type="dxa" w:w="28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Conflict existed; no change activity; ODV-004/CAPA closed</w:t>
            </w:r>
          </w:p>
        </w:tc>
        <w:tc>
          <w:tcPr>
            <w:tcW w:type="dxa" w:w="115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Closed</w:t>
            </w:r>
          </w:p>
        </w:tc>
      </w:tr>
    </w:tbl>
    <w:p>
      <w:pPr>
        <w:spacing w:after="80"/>
      </w:pPr>
    </w:p>
    <w:p>
      <w:pPr>
        <w:pStyle w:val="Heading1"/>
      </w:pPr>
      <w:r>
        <w:t>3. Privileged activity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Six privileged user accounts generated 214 administrative events during the period. A 100% review confirmed that each event linked to an approved access request, incident or change. Nine vendor sessions linked to approved tickets and were disabled at window end.</w:t>
      </w:r>
    </w:p>
    <w:p>
      <w:pPr>
        <w:pStyle w:val="Heading1"/>
      </w:pPr>
      <w:r>
        <w:t>4. Conclusion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No open SoD conflict remains. ODV-004 resulted in a role-provisioning control enhancement and effectiveness check.</w:t>
      </w:r>
    </w:p>
    <w:p>
      <w:pPr>
        <w:pStyle w:val="Heading1"/>
      </w:pPr>
      <w:r>
        <w:t>5. Related documents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224"/>
        <w:gridCol w:w="2038"/>
        <w:gridCol w:w="5098"/>
      </w:tblGrid>
      <w:tr>
        <w:trPr>
          <w:tblHeader w:val="true"/>
        </w:trPr>
        <w:tc>
          <w:tcPr>
            <w:tcW w:type="dxa" w:w="222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Relationship</w:t>
            </w:r>
          </w:p>
        </w:tc>
        <w:tc>
          <w:tcPr>
            <w:tcW w:type="dxa" w:w="203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 ID</w:t>
            </w:r>
          </w:p>
        </w:tc>
        <w:tc>
          <w:tcPr>
            <w:tcW w:type="dxa" w:w="509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QCL-2026-RAC-001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[Role and Access Control Matrix](031_Role_and_Access_Control_Matrix.md)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QCL-2026-SEC-001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[Security, Access and Segregation of Duties Test Report](053_Security_Access_and_Segregation_of_Duties_Test.md)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SOP-IT-LIMS-001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[QCLabOne 2.0 System Administration SOP](067_System_Administration_SOP.md)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QCL-2027-UAR-001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[User Access Request and Approval Records](078_User_Access_Request_and_Approval_Records.md)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QCL-2027-UAR-002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[Periodic User Access Review Report](079_Periodic_User_Access_Review_Report.md)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QCL-2027-ODV-004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[Operational Deviation and CAPA Record](087_Operational_Deviation_and_CAPA_Record.md)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QCL-2028-PRR-001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[Annual Periodic Review Report](092_Annual_Periodic_Review_Report.md)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QCL-2028-CVM-001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[Cybersecurity Vulnerability and Monitoring Report](094_Cybersecurity_Vulnerability_and_Monitoring_Report.md)</w:t>
            </w:r>
          </w:p>
        </w:tc>
      </w:tr>
    </w:tbl>
    <w:p>
      <w:pPr>
        <w:spacing w:after="80"/>
      </w:pPr>
    </w:p>
    <w:p>
      <w:pPr>
        <w:pStyle w:val="Heading1"/>
      </w:pPr>
      <w:r>
        <w:t>Approval record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160"/>
        <w:gridCol w:w="3038"/>
        <w:gridCol w:w="3162"/>
      </w:tblGrid>
      <w:tr>
        <w:trPr>
          <w:tblHeader w:val="true"/>
        </w:trPr>
        <w:tc>
          <w:tcPr>
            <w:tcW w:type="dxa" w:w="31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Approval step</w:t>
            </w:r>
          </w:p>
        </w:tc>
        <w:tc>
          <w:tcPr>
            <w:tcW w:type="dxa" w:w="303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Role</w:t>
            </w:r>
          </w:p>
        </w:tc>
        <w:tc>
          <w:tcPr>
            <w:tcW w:type="dxa" w:w="316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Case outcome</w:t>
            </w:r>
          </w:p>
        </w:tc>
      </w:tr>
      <w:tr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Prepared by</w:t>
            </w:r>
          </w:p>
        </w:tc>
        <w:tc>
          <w:tcPr>
            <w:tcW w:type="dxa" w:w="3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System Owner</w:t>
            </w:r>
          </w:p>
        </w:tc>
        <w:tc>
          <w:tcPr>
            <w:tcW w:type="dxa" w:w="31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</w:t>
            </w:r>
          </w:p>
        </w:tc>
      </w:tr>
      <w:tr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Reviewed by</w:t>
            </w:r>
          </w:p>
        </w:tc>
        <w:tc>
          <w:tcPr>
            <w:tcW w:type="dxa" w:w="3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 Business Process Owner</w:t>
            </w:r>
          </w:p>
        </w:tc>
        <w:tc>
          <w:tcPr>
            <w:tcW w:type="dxa" w:w="31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</w:t>
            </w:r>
          </w:p>
        </w:tc>
      </w:tr>
      <w:tr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by</w:t>
            </w:r>
          </w:p>
        </w:tc>
        <w:tc>
          <w:tcPr>
            <w:tcW w:type="dxa" w:w="3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QA System Oversight</w:t>
            </w:r>
          </w:p>
        </w:tc>
        <w:tc>
          <w:tcPr>
            <w:tcW w:type="dxa" w:w="31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p>
      <w:pPr>
        <w:pStyle w:val="Heading1"/>
      </w:pPr>
      <w:r>
        <w:t>Revision history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047"/>
        <w:gridCol w:w="1462"/>
        <w:gridCol w:w="5851"/>
      </w:tblGrid>
      <w:tr>
        <w:trPr>
          <w:tblHeader w:val="true"/>
        </w:trPr>
        <w:tc>
          <w:tcPr>
            <w:tcW w:type="dxa" w:w="2047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Version</w:t>
            </w:r>
          </w:p>
        </w:tc>
        <w:tc>
          <w:tcPr>
            <w:tcW w:type="dxa" w:w="146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Date</w:t>
            </w:r>
          </w:p>
        </w:tc>
        <w:tc>
          <w:tcPr>
            <w:tcW w:type="dxa" w:w="5851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Change</w:t>
            </w:r>
          </w:p>
        </w:tc>
      </w:tr>
      <w:tr>
        <w:tc>
          <w:tcPr>
            <w:tcW w:type="dxa" w:w="204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2027-09-30</w:t>
            </w:r>
          </w:p>
        </w:tc>
        <w:tc>
          <w:tcPr>
            <w:tcW w:type="dxa" w:w="585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Initial approved fictional case version.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/>
        <w:color w:val="595959"/>
        <w:sz w:val="17"/>
      </w:rPr>
      <w:t xml:space="preserve">QCL-2027-SOD-001 | Version 1.0 | Completed/Closed in fictional operating record | Page </w:t>
    </w:r>
    <w:r>
      <w:fldChar w:fldCharType="begin"/>
    </w:r>
    <w:r>
      <w:instrText xml:space="preserve"> PAGE </w:instrText>
    </w:r>
    <w:r>
      <w:fldChar w:fldCharType="separate"/>
    </w:r>
    <w:r>
      <w:rPr>
        <w:rFonts w:ascii="Calibri" w:hAnsi="Calibri"/>
        <w:color w:val="595959"/>
        <w:sz w:val="18"/>
      </w:rPr>
      <w:t>1</w:t>
    </w:r>
    <w:r>
      <w:fldChar w:fldCharType="end"/>
    </w:r>
    <w:r>
      <w:rPr>
        <w:rFonts w:ascii="Calibri" w:hAnsi="Calibri"/>
        <w:color w:val="595959"/>
        <w:sz w:val="17"/>
      </w:rP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rPr>
        <w:rFonts w:ascii="Calibri" w:hAnsi="Calibri"/>
        <w:color w:val="595959"/>
        <w:sz w:val="18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Calibri" w:hAnsi="Calibri"/>
        <w:b/>
        <w:color w:val="595959"/>
        <w:sz w:val="17"/>
      </w:rPr>
      <w:t>QCL-2026 | QCLabOne 2.0 LIMS/LES</w:t>
    </w:r>
    <w:r>
      <w:tab/>
    </w:r>
    <w:r>
      <w:rPr>
        <w:rFonts w:ascii="Calibri" w:hAnsi="Calibri"/>
        <w:color w:val="595959"/>
        <w:sz w:val="17"/>
      </w:rPr>
      <w:t>QCL-2027-SOD-001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Segregation of Duties and Privileged Access Review</dc:title>
  <dc:subject>GMP CSV controlled-document conversion</dc:subject>
  <dc:creator>CSV108 Markdown DOCX Converter</dc:creator>
  <cp:keywords>CSV, GMP, validation, DOCX, controlled document</cp:keywords>
  <dc:description>Converted from CSV108 Markdown source. Requires site-specific QA review before operational use.</dc:description>
  <cp:lastModifiedBy>CSV108 Markdown DOCX Converter</cp:lastModifiedBy>
  <cp:revision>1</cp:revision>
  <dcterms:created xsi:type="dcterms:W3CDTF">2026-06-19T09:00:00Z</dcterms:created>
  <dcterms:modified xsi:type="dcterms:W3CDTF">2026-06-19T09:00:00Z</dcterms:modified>
  <cp:category>GMP CSV</cp:category>
</cp:coreProperties>
</file>