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Data Integrity Monitoring and Trend Report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QCL-2027-DIM-001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2027-09-30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QCL-2027-DIM-001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2027-09-30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Reporting period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Go-live 2027-06-15 through 2027-09-30.</w:t>
      </w:r>
    </w:p>
    <w:p>
      <w:pPr>
        <w:pStyle w:val="Heading1"/>
      </w:pPr>
      <w:r>
        <w:t>2. Data-integrity indicators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332"/>
        <w:gridCol w:w="1134"/>
        <w:gridCol w:w="3687"/>
        <w:gridCol w:w="1207"/>
      </w:tblGrid>
      <w:tr>
        <w:trPr>
          <w:tblHeader w:val="true"/>
        </w:trPr>
        <w:tc>
          <w:tcPr>
            <w:tcW w:type="dxa" w:w="333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Indicator</w:t>
            </w:r>
          </w:p>
        </w:tc>
        <w:tc>
          <w:tcPr>
            <w:tcW w:type="dxa" w:w="113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Observed</w:t>
            </w:r>
          </w:p>
        </w:tc>
        <w:tc>
          <w:tcPr>
            <w:tcW w:type="dxa" w:w="368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Assessment</w:t>
            </w:r>
          </w:p>
        </w:tc>
        <w:tc>
          <w:tcPr>
            <w:tcW w:type="dxa" w:w="120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Trend</w:t>
            </w:r>
          </w:p>
        </w:tc>
      </w:tr>
      <w:tr>
        <w:tc>
          <w:tcPr>
            <w:tcW w:type="dxa" w:w="33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Manual critical-result entries</w:t>
            </w:r>
          </w:p>
        </w:tc>
        <w:tc>
          <w:tcPr>
            <w:tcW w:type="dxa" w:w="11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318</w:t>
            </w:r>
          </w:p>
        </w:tc>
        <w:tc>
          <w:tcPr>
            <w:tcW w:type="dxa" w:w="36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0.9% of critical results; all independently verified</w:t>
            </w:r>
          </w:p>
        </w:tc>
        <w:tc>
          <w:tcPr>
            <w:tcW w:type="dxa" w:w="120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Stable</w:t>
            </w:r>
          </w:p>
        </w:tc>
      </w:tr>
      <w:tr>
        <w:tc>
          <w:tcPr>
            <w:tcW w:type="dxa" w:w="33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Post-signature corrections</w:t>
            </w:r>
          </w:p>
        </w:tc>
        <w:tc>
          <w:tcPr>
            <w:tcW w:type="dxa" w:w="11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27</w:t>
            </w:r>
          </w:p>
        </w:tc>
        <w:tc>
          <w:tcPr>
            <w:tcW w:type="dxa" w:w="36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100% invalidated/re-reviewed</w:t>
            </w:r>
          </w:p>
        </w:tc>
        <w:tc>
          <w:tcPr>
            <w:tcW w:type="dxa" w:w="120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 adverse trend</w:t>
            </w:r>
          </w:p>
        </w:tc>
      </w:tr>
      <w:tr>
        <w:tc>
          <w:tcPr>
            <w:tcW w:type="dxa" w:w="33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Records with missing reason for critical change</w:t>
            </w:r>
          </w:p>
        </w:tc>
        <w:tc>
          <w:tcPr>
            <w:tcW w:type="dxa" w:w="11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0</w:t>
            </w:r>
          </w:p>
        </w:tc>
        <w:tc>
          <w:tcPr>
            <w:tcW w:type="dxa" w:w="36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Target 0</w:t>
            </w:r>
          </w:p>
        </w:tc>
        <w:tc>
          <w:tcPr>
            <w:tcW w:type="dxa" w:w="120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Meets</w:t>
            </w:r>
          </w:p>
        </w:tc>
      </w:tr>
      <w:tr>
        <w:tc>
          <w:tcPr>
            <w:tcW w:type="dxa" w:w="33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Unexplained audit-trail events</w:t>
            </w:r>
          </w:p>
        </w:tc>
        <w:tc>
          <w:tcPr>
            <w:tcW w:type="dxa" w:w="11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0</w:t>
            </w:r>
          </w:p>
        </w:tc>
        <w:tc>
          <w:tcPr>
            <w:tcW w:type="dxa" w:w="36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Target 0</w:t>
            </w:r>
          </w:p>
        </w:tc>
        <w:tc>
          <w:tcPr>
            <w:tcW w:type="dxa" w:w="120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Meets</w:t>
            </w:r>
          </w:p>
        </w:tc>
      </w:tr>
      <w:tr>
        <w:tc>
          <w:tcPr>
            <w:tcW w:type="dxa" w:w="33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 unreconciled messages at month-end</w:t>
            </w:r>
          </w:p>
        </w:tc>
        <w:tc>
          <w:tcPr>
            <w:tcW w:type="dxa" w:w="11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0</w:t>
            </w:r>
          </w:p>
        </w:tc>
        <w:tc>
          <w:tcPr>
            <w:tcW w:type="dxa" w:w="36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Target 0</w:t>
            </w:r>
          </w:p>
        </w:tc>
        <w:tc>
          <w:tcPr>
            <w:tcW w:type="dxa" w:w="120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Meets</w:t>
            </w:r>
          </w:p>
        </w:tc>
      </w:tr>
      <w:tr>
        <w:tc>
          <w:tcPr>
            <w:tcW w:type="dxa" w:w="33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Backup failures not recovered within same day</w:t>
            </w:r>
          </w:p>
        </w:tc>
        <w:tc>
          <w:tcPr>
            <w:tcW w:type="dxa" w:w="11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0</w:t>
            </w:r>
          </w:p>
        </w:tc>
        <w:tc>
          <w:tcPr>
            <w:tcW w:type="dxa" w:w="36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Target 0</w:t>
            </w:r>
          </w:p>
        </w:tc>
        <w:tc>
          <w:tcPr>
            <w:tcW w:type="dxa" w:w="120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Meets</w:t>
            </w:r>
          </w:p>
        </w:tc>
      </w:tr>
      <w:tr>
        <w:tc>
          <w:tcPr>
            <w:tcW w:type="dxa" w:w="33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OOS/OOT cases without valid eQMS link</w:t>
            </w:r>
          </w:p>
        </w:tc>
        <w:tc>
          <w:tcPr>
            <w:tcW w:type="dxa" w:w="11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0</w:t>
            </w:r>
          </w:p>
        </w:tc>
        <w:tc>
          <w:tcPr>
            <w:tcW w:type="dxa" w:w="36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Target 0</w:t>
            </w:r>
          </w:p>
        </w:tc>
        <w:tc>
          <w:tcPr>
            <w:tcW w:type="dxa" w:w="120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Meets</w:t>
            </w:r>
          </w:p>
        </w:tc>
      </w:tr>
      <w:tr>
        <w:tc>
          <w:tcPr>
            <w:tcW w:type="dxa" w:w="33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Use of break-glass account</w:t>
            </w:r>
          </w:p>
        </w:tc>
        <w:tc>
          <w:tcPr>
            <w:tcW w:type="dxa" w:w="11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0</w:t>
            </w:r>
          </w:p>
        </w:tc>
        <w:tc>
          <w:tcPr>
            <w:tcW w:type="dxa" w:w="36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Target 0</w:t>
            </w:r>
          </w:p>
        </w:tc>
        <w:tc>
          <w:tcPr>
            <w:tcW w:type="dxa" w:w="120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Meets</w:t>
            </w:r>
          </w:p>
        </w:tc>
      </w:tr>
      <w:tr>
        <w:tc>
          <w:tcPr>
            <w:tcW w:type="dxa" w:w="33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Vendor sessions without approved ticket</w:t>
            </w:r>
          </w:p>
        </w:tc>
        <w:tc>
          <w:tcPr>
            <w:tcW w:type="dxa" w:w="11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0</w:t>
            </w:r>
          </w:p>
        </w:tc>
        <w:tc>
          <w:tcPr>
            <w:tcW w:type="dxa" w:w="36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Target 0</w:t>
            </w:r>
          </w:p>
        </w:tc>
        <w:tc>
          <w:tcPr>
            <w:tcW w:type="dxa" w:w="120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Meets</w:t>
            </w:r>
          </w:p>
        </w:tc>
      </w:tr>
      <w:tr>
        <w:tc>
          <w:tcPr>
            <w:tcW w:type="dxa" w:w="33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Late data entry &gt;24 h without documented reason</w:t>
            </w:r>
          </w:p>
        </w:tc>
        <w:tc>
          <w:tcPr>
            <w:tcW w:type="dxa" w:w="11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</w:t>
            </w:r>
          </w:p>
        </w:tc>
        <w:tc>
          <w:tcPr>
            <w:tcW w:type="dxa" w:w="36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Both outage forms reconciled/approved</w:t>
            </w:r>
          </w:p>
        </w:tc>
        <w:tc>
          <w:tcPr>
            <w:tcW w:type="dxa" w:w="120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 systemic trend</w:t>
            </w:r>
          </w:p>
        </w:tc>
      </w:tr>
    </w:tbl>
    <w:p>
      <w:pPr>
        <w:spacing w:after="80"/>
      </w:pPr>
    </w:p>
    <w:p>
      <w:pPr>
        <w:pStyle w:val="Heading1"/>
      </w:pPr>
      <w:r>
        <w:t>3. Qualitative review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No evidence of shared credentials, backdating, discarded data, uncontrolled calculation, hidden repeat testing, missing OOS linkage or audit-trail suppression was identified. Two delayed entries were associated with approved outage forms and reconciled within one day.</w:t>
      </w:r>
    </w:p>
    <w:p>
      <w:pPr>
        <w:pStyle w:val="Heading1"/>
      </w:pPr>
      <w:r>
        <w:t>4. Actions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Maintain targeted training on meaningful correction reasons; retain monthly privileged-access review; add role-assignment automated conflict alert following ODV-004; continue certificate-expiry monitoring improvement after INC-2027-014.</w:t>
      </w:r>
    </w:p>
    <w:p>
      <w:pPr>
        <w:pStyle w:val="Heading1"/>
      </w:pPr>
      <w:r>
        <w:t>5. Conclusion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system and associated procedures support ALCOA+ principles. Residual data-integrity risk remains acceptable.</w:t>
      </w:r>
    </w:p>
    <w:p>
      <w:pPr>
        <w:pStyle w:val="Heading1"/>
      </w:pPr>
      <w:r>
        <w:t>6.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QCL-2026-DIRA-001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Integrity Risk Assessment](012_Data_Integrity_Risk_Assessment.md)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SOP-QA-ATR-001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Audit Trail Review SOP](068_Audit_Trail_Review_SOP.md)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QCL-2027-UAR-002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[Periodic User Access Review Report](079_Periodic_User_Access_Review_Report.md)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QCL-2027-SOD-001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[Segregation of Duties and Privileged Access Review](080_Segregation_of_Duties_and_Privileged_Access_Review.md)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QCL-2027-ATR-001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[Periodic Audit Trail Review Record](081_Periodic_Audit_Trail_Review_Record.md)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QCL-2027-BML-001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Monitoring Log and Exception Record](083_Backup_Monitoring_Log_and_Exception_Record.md)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QCL-2027-ODV-004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[Operational Deviation and CAPA Record](087_Operational_Deviation_and_CAPA_Record.md)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QCL-2028-PRR-001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[Annual Periodic Review Report](092_Annual_Periodic_Review_Report.md)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QCL-2028-CVM-001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[Cybersecurity Vulnerability and Monitoring Report](094_Cybersecurity_Vulnerability_and_Monitoring_Report.md)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QCL-2028-IRD-001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[Inspection Readiness Dossier and Audit Response Record](098_Inspection_Readiness_Dossier_and_Audit_Response_Record.md)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Business Process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System Oversight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2027-09-30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QCL-2027-DIM-001 | Version 1.0 | Completed/Closed in fictional operating record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QCL-2027-DIM-001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Integrity Monitoring and Trend Report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