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595959"/>
          <w:sz w:val="19"/>
        </w:rPr>
        <w:t>GMP CSV Controlled Document</w:t>
      </w:r>
    </w:p>
    <w:p>
      <w:pPr>
        <w:spacing w:after="80"/>
      </w:pPr>
      <w:r>
        <w:rPr>
          <w:rFonts w:ascii="Calibri" w:hAnsi="Calibri"/>
          <w:b/>
          <w:color w:val="0B2545"/>
          <w:sz w:val="44"/>
        </w:rPr>
        <w:t>Incident Record and Impact Assessment</w:t>
      </w:r>
    </w:p>
    <w:p>
      <w:pPr>
        <w:spacing w:after="200"/>
      </w:pPr>
      <w:r>
        <w:rPr>
          <w:rFonts w:ascii="Calibri" w:hAnsi="Calibri"/>
          <w:color w:val="595959"/>
          <w:sz w:val="23"/>
        </w:rPr>
        <w:t>QCLabOne 2.0 QC Laboratory Digital Platform Replacement Project</w:t>
      </w:r>
    </w:p>
    <w:tbl>
      <w:tblPr>
        <w:tblStyle w:val="TableGrid"/>
        <w:tblW w:type="dxa" w:w="9360"/>
        <w:tblLayout w:type="fixed"/>
        <w:tblLook w:firstColumn="1" w:firstRow="1" w:lastColumn="0" w:lastRow="0" w:noHBand="0" w:noVBand="1" w:val="04A0"/>
        <w:tblInd w:w="120" w:type="dxa"/>
      </w:tblPr>
      <w:tblGrid>
        <w:gridCol w:w="2700"/>
        <w:gridCol w:w="6660"/>
      </w:tblGrid>
      <w:tr>
        <w:trPr>
          <w:tblHeader w:val="true"/>
        </w:trPr>
        <w:tc>
          <w:tcPr>
            <w:tcW w:type="dxa" w:w="2700"/>
            <w:shd w:fill="D9EAF7"/>
            <w:vAlign w:val="center"/>
            <w:tcMar>
              <w:top w:w="80" w:type="dxa"/>
              <w:bottom w:w="80" w:type="dxa"/>
              <w:start w:w="120" w:type="dxa"/>
              <w:end w:w="120" w:type="dxa"/>
            </w:tcMar>
          </w:tcPr>
          <w:p>
            <w:pPr>
              <w:spacing w:after="0" w:line="276" w:lineRule="auto"/>
            </w:pPr>
            <w:r/>
            <w:r>
              <w:rPr>
                <w:rFonts w:ascii="Calibri" w:hAnsi="Calibri"/>
                <w:b/>
                <w:color w:val="000000"/>
                <w:sz w:val="19"/>
              </w:rPr>
              <w:t>Control Field</w:t>
            </w:r>
          </w:p>
        </w:tc>
        <w:tc>
          <w:tcPr>
            <w:tcW w:type="dxa" w:w="6660"/>
            <w:shd w:fill="D9EAF7"/>
            <w:vAlign w:val="center"/>
            <w:tcMar>
              <w:top w:w="80" w:type="dxa"/>
              <w:bottom w:w="80" w:type="dxa"/>
              <w:start w:w="120" w:type="dxa"/>
              <w:end w:w="120" w:type="dxa"/>
            </w:tcMar>
          </w:tcPr>
          <w:p>
            <w:pPr>
              <w:spacing w:after="0" w:line="276" w:lineRule="auto"/>
            </w:pPr>
            <w:r/>
            <w:r>
              <w:rPr>
                <w:rFonts w:ascii="Calibri" w:hAnsi="Calibri"/>
                <w:b/>
                <w:color w:val="000000"/>
                <w:sz w:val="19"/>
              </w:rPr>
              <w:t>Value</w:t>
            </w:r>
          </w:p>
        </w:tc>
      </w:tr>
      <w:tr>
        <w:tc>
          <w:tcPr>
            <w:tcW w:type="dxa" w:w="2700"/>
            <w:vAlign w:val="center"/>
            <w:tcMar>
              <w:top w:w="80" w:type="dxa"/>
              <w:bottom w:w="80" w:type="dxa"/>
              <w:start w:w="120" w:type="dxa"/>
              <w:end w:w="120" w:type="dxa"/>
            </w:tcMar>
          </w:tcPr>
          <w:p>
            <w:pPr>
              <w:spacing w:after="0" w:line="276" w:lineRule="auto"/>
            </w:pPr>
            <w:r/>
            <w:r>
              <w:rPr>
                <w:rFonts w:ascii="Calibri" w:hAnsi="Calibri"/>
                <w:b/>
                <w:color w:val="000000"/>
                <w:sz w:val="19"/>
              </w:rPr>
              <w:t>Document number</w:t>
            </w:r>
          </w:p>
        </w:tc>
        <w:tc>
          <w:tcPr>
            <w:tcW w:type="dxa" w:w="6660"/>
            <w:vAlign w:val="center"/>
            <w:tcMar>
              <w:top w:w="80" w:type="dxa"/>
              <w:bottom w:w="80" w:type="dxa"/>
              <w:start w:w="120" w:type="dxa"/>
              <w:end w:w="120" w:type="dxa"/>
            </w:tcMar>
          </w:tcPr>
          <w:p>
            <w:pPr>
              <w:spacing w:after="0" w:line="276" w:lineRule="auto"/>
            </w:pPr>
            <w:r/>
            <w:r>
              <w:rPr>
                <w:rFonts w:ascii="Calibri" w:hAnsi="Calibri"/>
                <w:b w:val="0"/>
                <w:color w:val="000000"/>
                <w:sz w:val="19"/>
              </w:rPr>
              <w:t>QCL-2027-INC-014</w:t>
            </w:r>
          </w:p>
        </w:tc>
      </w:tr>
      <w:tr>
        <w:tc>
          <w:tcPr>
            <w:tcW w:type="dxa" w:w="2700"/>
            <w:vAlign w:val="center"/>
            <w:tcMar>
              <w:top w:w="80" w:type="dxa"/>
              <w:bottom w:w="80" w:type="dxa"/>
              <w:start w:w="120" w:type="dxa"/>
              <w:end w:w="120" w:type="dxa"/>
            </w:tcMar>
          </w:tcPr>
          <w:p>
            <w:pPr>
              <w:spacing w:after="0" w:line="276" w:lineRule="auto"/>
            </w:pPr>
            <w:r/>
            <w:r>
              <w:rPr>
                <w:rFonts w:ascii="Calibri" w:hAnsi="Calibri"/>
                <w:b/>
                <w:color w:val="000000"/>
                <w:sz w:val="19"/>
              </w:rPr>
              <w:t>System</w:t>
            </w:r>
          </w:p>
        </w:tc>
        <w:tc>
          <w:tcPr>
            <w:tcW w:type="dxa" w:w="6660"/>
            <w:vAlign w:val="center"/>
            <w:tcMar>
              <w:top w:w="80" w:type="dxa"/>
              <w:bottom w:w="80" w:type="dxa"/>
              <w:start w:w="120" w:type="dxa"/>
              <w:end w:w="120" w:type="dxa"/>
            </w:tcMar>
          </w:tcPr>
          <w:p>
            <w:pPr>
              <w:spacing w:after="0" w:line="276" w:lineRule="auto"/>
            </w:pPr>
            <w:r/>
            <w:r>
              <w:rPr>
                <w:rFonts w:ascii="Calibri" w:hAnsi="Calibri"/>
                <w:b w:val="0"/>
                <w:color w:val="000000"/>
                <w:sz w:val="19"/>
              </w:rPr>
              <w:t>QCLabOne 2.0 LIMS/LES</w:t>
            </w:r>
          </w:p>
        </w:tc>
      </w:tr>
      <w:tr>
        <w:tc>
          <w:tcPr>
            <w:tcW w:type="dxa" w:w="2700"/>
            <w:vAlign w:val="center"/>
            <w:tcMar>
              <w:top w:w="80" w:type="dxa"/>
              <w:bottom w:w="80" w:type="dxa"/>
              <w:start w:w="120" w:type="dxa"/>
              <w:end w:w="120" w:type="dxa"/>
            </w:tcMar>
          </w:tcPr>
          <w:p>
            <w:pPr>
              <w:spacing w:after="0" w:line="276" w:lineRule="auto"/>
            </w:pPr>
            <w:r/>
            <w:r>
              <w:rPr>
                <w:rFonts w:ascii="Calibri" w:hAnsi="Calibri"/>
                <w:b/>
                <w:color w:val="000000"/>
                <w:sz w:val="19"/>
              </w:rPr>
              <w:t>Lifecycle phase</w:t>
            </w:r>
          </w:p>
        </w:tc>
        <w:tc>
          <w:tcPr>
            <w:tcW w:type="dxa" w:w="6660"/>
            <w:vAlign w:val="center"/>
            <w:tcMar>
              <w:top w:w="80" w:type="dxa"/>
              <w:bottom w:w="80" w:type="dxa"/>
              <w:start w:w="120" w:type="dxa"/>
              <w:end w:w="120" w:type="dxa"/>
            </w:tcMar>
          </w:tcPr>
          <w:p>
            <w:pPr>
              <w:spacing w:after="0" w:line="276" w:lineRule="auto"/>
            </w:pPr>
            <w:r/>
            <w:r>
              <w:rPr>
                <w:rFonts w:ascii="Calibri" w:hAnsi="Calibri"/>
                <w:b w:val="0"/>
                <w:color w:val="000000"/>
                <w:sz w:val="19"/>
              </w:rPr>
              <w:t>Operation</w:t>
            </w:r>
          </w:p>
        </w:tc>
      </w:tr>
      <w:tr>
        <w:tc>
          <w:tcPr>
            <w:tcW w:type="dxa" w:w="2700"/>
            <w:vAlign w:val="center"/>
            <w:tcMar>
              <w:top w:w="80" w:type="dxa"/>
              <w:bottom w:w="80" w:type="dxa"/>
              <w:start w:w="120" w:type="dxa"/>
              <w:end w:w="120" w:type="dxa"/>
            </w:tcMar>
          </w:tcPr>
          <w:p>
            <w:pPr>
              <w:spacing w:after="0" w:line="276" w:lineRule="auto"/>
            </w:pPr>
            <w:r/>
            <w:r>
              <w:rPr>
                <w:rFonts w:ascii="Calibri" w:hAnsi="Calibri"/>
                <w:b/>
                <w:color w:val="000000"/>
                <w:sz w:val="19"/>
              </w:rPr>
              <w:t>Version</w:t>
            </w:r>
          </w:p>
        </w:tc>
        <w:tc>
          <w:tcPr>
            <w:tcW w:type="dxa" w:w="6660"/>
            <w:vAlign w:val="center"/>
            <w:tcMar>
              <w:top w:w="80" w:type="dxa"/>
              <w:bottom w:w="80" w:type="dxa"/>
              <w:start w:w="120" w:type="dxa"/>
              <w:end w:w="120" w:type="dxa"/>
            </w:tcMar>
          </w:tcPr>
          <w:p>
            <w:pPr>
              <w:spacing w:after="0" w:line="276" w:lineRule="auto"/>
            </w:pPr>
            <w:r/>
            <w:r>
              <w:rPr>
                <w:rFonts w:ascii="Calibri" w:hAnsi="Calibri"/>
                <w:b w:val="0"/>
                <w:color w:val="000000"/>
                <w:sz w:val="19"/>
              </w:rPr>
              <w:t>1.0</w:t>
            </w:r>
          </w:p>
        </w:tc>
      </w:tr>
      <w:tr>
        <w:tc>
          <w:tcPr>
            <w:tcW w:type="dxa" w:w="2700"/>
            <w:vAlign w:val="center"/>
            <w:tcMar>
              <w:top w:w="80" w:type="dxa"/>
              <w:bottom w:w="80" w:type="dxa"/>
              <w:start w:w="120" w:type="dxa"/>
              <w:end w:w="120" w:type="dxa"/>
            </w:tcMar>
          </w:tcPr>
          <w:p>
            <w:pPr>
              <w:spacing w:after="0" w:line="276" w:lineRule="auto"/>
            </w:pPr>
            <w:r/>
            <w:r>
              <w:rPr>
                <w:rFonts w:ascii="Calibri" w:hAnsi="Calibri"/>
                <w:b/>
                <w:color w:val="000000"/>
                <w:sz w:val="19"/>
              </w:rPr>
              <w:t>Effective/record date</w:t>
            </w:r>
          </w:p>
        </w:tc>
        <w:tc>
          <w:tcPr>
            <w:tcW w:type="dxa" w:w="6660"/>
            <w:vAlign w:val="center"/>
            <w:tcMar>
              <w:top w:w="80" w:type="dxa"/>
              <w:bottom w:w="80" w:type="dxa"/>
              <w:start w:w="120" w:type="dxa"/>
              <w:end w:w="120" w:type="dxa"/>
            </w:tcMar>
          </w:tcPr>
          <w:p>
            <w:pPr>
              <w:spacing w:after="0" w:line="276" w:lineRule="auto"/>
            </w:pPr>
            <w:r/>
            <w:r>
              <w:rPr>
                <w:rFonts w:ascii="Calibri" w:hAnsi="Calibri"/>
                <w:b w:val="0"/>
                <w:color w:val="000000"/>
                <w:sz w:val="19"/>
              </w:rPr>
              <w:t>2027-12-20</w:t>
            </w:r>
          </w:p>
        </w:tc>
      </w:tr>
      <w:tr>
        <w:tc>
          <w:tcPr>
            <w:tcW w:type="dxa" w:w="2700"/>
            <w:vAlign w:val="center"/>
            <w:tcMar>
              <w:top w:w="80" w:type="dxa"/>
              <w:bottom w:w="80" w:type="dxa"/>
              <w:start w:w="120" w:type="dxa"/>
              <w:end w:w="120" w:type="dxa"/>
            </w:tcMar>
          </w:tcPr>
          <w:p>
            <w:pPr>
              <w:spacing w:after="0" w:line="276" w:lineRule="auto"/>
            </w:pPr>
            <w:r/>
            <w:r>
              <w:rPr>
                <w:rFonts w:ascii="Calibri" w:hAnsi="Calibri"/>
                <w:b/>
                <w:color w:val="000000"/>
                <w:sz w:val="19"/>
              </w:rPr>
              <w:t>Status</w:t>
            </w:r>
          </w:p>
        </w:tc>
        <w:tc>
          <w:tcPr>
            <w:tcW w:type="dxa" w:w="6660"/>
            <w:vAlign w:val="center"/>
            <w:tcMar>
              <w:top w:w="80" w:type="dxa"/>
              <w:bottom w:w="80" w:type="dxa"/>
              <w:start w:w="120" w:type="dxa"/>
              <w:end w:w="120" w:type="dxa"/>
            </w:tcMar>
          </w:tcPr>
          <w:p>
            <w:pPr>
              <w:spacing w:after="0" w:line="276" w:lineRule="auto"/>
            </w:pPr>
            <w:r/>
            <w:r>
              <w:rPr>
                <w:rFonts w:ascii="Calibri" w:hAnsi="Calibri"/>
                <w:b w:val="0"/>
                <w:color w:val="000000"/>
                <w:sz w:val="19"/>
              </w:rPr>
              <w:t>Completed/Closed in fictional operating record</w:t>
            </w:r>
          </w:p>
        </w:tc>
      </w:tr>
    </w:tbl>
    <w:p>
      <w:pPr>
        <w:spacing w:after="80"/>
      </w:pPr>
    </w:p>
    <w:tbl>
      <w:tblPr>
        <w:tblStyle w:val="TableGrid"/>
        <w:tblW w:type="dxa" w:w="9360"/>
        <w:tblLayout w:type="fixed"/>
        <w:tblLook w:firstColumn="1" w:firstRow="1" w:lastColumn="0" w:lastRow="0" w:noHBand="0" w:noVBand="1" w:val="04A0"/>
        <w:tblInd w:w="120" w:type="dxa"/>
      </w:tblPr>
      <w:tblGrid>
        <w:gridCol w:w="9360"/>
      </w:tblGrid>
      <w:tr>
        <w:tc>
          <w:tcPr>
            <w:tcW w:type="dxa" w:w="9360"/>
            <w:shd w:fill="F7F9FC"/>
            <w:vAlign w:val="center"/>
            <w:tcMar>
              <w:top w:w="80" w:type="dxa"/>
              <w:bottom w:w="80" w:type="dxa"/>
              <w:start w:w="120" w:type="dxa"/>
              <w:end w:w="120" w:type="dxa"/>
            </w:tcMar>
          </w:tcPr>
          <w:p>
            <w:pPr>
              <w:spacing w:after="0" w:line="276" w:lineRule="auto"/>
            </w:pPr>
            <w:r/>
            <w:r>
              <w:rPr>
                <w:rFonts w:ascii="Calibri" w:hAnsi="Calibri"/>
                <w:b w:val="0"/>
                <w:color w:val="595959"/>
                <w:sz w:val="19"/>
              </w:rPr>
              <w:t>Use notice: This Markdown file is a fully populated fictional CSV training case. It is not an executed GMP record and does not replace company procedures, approved signatures, supplier evidence, or site-specific risk decisions.</w:t>
            </w:r>
          </w:p>
        </w:tc>
      </w:tr>
    </w:tbl>
    <w:p>
      <w:pPr>
        <w:spacing w:after="80"/>
      </w:pPr>
    </w:p>
    <w:p>
      <w:pPr>
        <w:pStyle w:val="Heading1"/>
      </w:pPr>
      <w:r>
        <w:t>Document control</w:t>
      </w:r>
    </w:p>
    <w:tbl>
      <w:tblPr>
        <w:tblStyle w:val="TableGrid"/>
        <w:tblW w:type="dxa" w:w="9360"/>
        <w:tblLayout w:type="fixed"/>
        <w:tblLook w:firstColumn="1" w:firstRow="1" w:lastColumn="0" w:lastRow="0" w:noHBand="0" w:noVBand="1" w:val="04A0"/>
        <w:tblInd w:w="120" w:type="dxa"/>
      </w:tblPr>
      <w:tblGrid>
        <w:gridCol w:w="2586"/>
        <w:gridCol w:w="6774"/>
      </w:tblGrid>
      <w:tr>
        <w:trPr>
          <w:tblHeader w:val="true"/>
        </w:trPr>
        <w:tc>
          <w:tcPr>
            <w:tcW w:type="dxa" w:w="2586"/>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Field</w:t>
            </w:r>
          </w:p>
        </w:tc>
        <w:tc>
          <w:tcPr>
            <w:tcW w:type="dxa" w:w="6774"/>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Value</w:t>
            </w:r>
          </w:p>
        </w:tc>
      </w:tr>
      <w:tr>
        <w:tc>
          <w:tcPr>
            <w:tcW w:type="dxa" w:w="25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Document number</w:t>
            </w:r>
          </w:p>
        </w:tc>
        <w:tc>
          <w:tcPr>
            <w:tcW w:type="dxa" w:w="67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QCL-2027-INC-014</w:t>
            </w:r>
          </w:p>
        </w:tc>
      </w:tr>
      <w:tr>
        <w:tc>
          <w:tcPr>
            <w:tcW w:type="dxa" w:w="25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Company</w:t>
            </w:r>
          </w:p>
        </w:tc>
        <w:tc>
          <w:tcPr>
            <w:tcW w:type="dxa" w:w="67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NovaSterile Pharma Co., Ltd.</w:t>
            </w:r>
          </w:p>
        </w:tc>
      </w:tr>
      <w:tr>
        <w:tc>
          <w:tcPr>
            <w:tcW w:type="dxa" w:w="25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Site</w:t>
            </w:r>
          </w:p>
        </w:tc>
        <w:tc>
          <w:tcPr>
            <w:tcW w:type="dxa" w:w="67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Suzhou Sterile Products Manufacturing Site</w:t>
            </w:r>
          </w:p>
        </w:tc>
      </w:tr>
      <w:tr>
        <w:tc>
          <w:tcPr>
            <w:tcW w:type="dxa" w:w="25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Project</w:t>
            </w:r>
          </w:p>
        </w:tc>
        <w:tc>
          <w:tcPr>
            <w:tcW w:type="dxa" w:w="67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QCLabOne 2.0 QC Laboratory Digital Platform Replacement Project</w:t>
            </w:r>
          </w:p>
        </w:tc>
      </w:tr>
      <w:tr>
        <w:tc>
          <w:tcPr>
            <w:tcW w:type="dxa" w:w="25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System</w:t>
            </w:r>
          </w:p>
        </w:tc>
        <w:tc>
          <w:tcPr>
            <w:tcW w:type="dxa" w:w="67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QCLabOne 2.0 LIMS/LES</w:t>
            </w:r>
          </w:p>
        </w:tc>
      </w:tr>
      <w:tr>
        <w:tc>
          <w:tcPr>
            <w:tcW w:type="dxa" w:w="25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Lifecycle phase</w:t>
            </w:r>
          </w:p>
        </w:tc>
        <w:tc>
          <w:tcPr>
            <w:tcW w:type="dxa" w:w="67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Operation</w:t>
            </w:r>
          </w:p>
        </w:tc>
      </w:tr>
      <w:tr>
        <w:tc>
          <w:tcPr>
            <w:tcW w:type="dxa" w:w="25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Version</w:t>
            </w:r>
          </w:p>
        </w:tc>
        <w:tc>
          <w:tcPr>
            <w:tcW w:type="dxa" w:w="67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1.0</w:t>
            </w:r>
          </w:p>
        </w:tc>
      </w:tr>
      <w:tr>
        <w:tc>
          <w:tcPr>
            <w:tcW w:type="dxa" w:w="25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Effective/record date</w:t>
            </w:r>
          </w:p>
        </w:tc>
        <w:tc>
          <w:tcPr>
            <w:tcW w:type="dxa" w:w="67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2027-12-20</w:t>
            </w:r>
          </w:p>
        </w:tc>
      </w:tr>
      <w:tr>
        <w:tc>
          <w:tcPr>
            <w:tcW w:type="dxa" w:w="25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Case status</w:t>
            </w:r>
          </w:p>
        </w:tc>
        <w:tc>
          <w:tcPr>
            <w:tcW w:type="dxa" w:w="67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Completed/Closed in fictional operating record</w:t>
            </w:r>
          </w:p>
        </w:tc>
      </w:tr>
    </w:tbl>
    <w:p>
      <w:pPr>
        <w:spacing w:after="80"/>
      </w:pPr>
    </w:p>
    <w:p>
      <w:pPr>
        <w:pStyle w:val="Heading1"/>
      </w:pPr>
      <w:r>
        <w:t>Governing references</w:t>
      </w:r>
    </w:p>
    <w:p>
      <w:pPr>
        <w:pStyle w:val="ListBullet"/>
        <w:spacing w:after="80" w:line="300" w:lineRule="auto"/>
      </w:pPr>
      <w:r>
        <w:rPr>
          <w:rFonts w:ascii="Calibri" w:hAnsi="Calibri"/>
          <w:color w:val="000000"/>
          <w:sz w:val="22"/>
        </w:rPr>
        <w:t>China GMP (2010 Revision), Appendix: Computerised Systems (effective 1 December 2015)</w:t>
      </w:r>
    </w:p>
    <w:p>
      <w:pPr>
        <w:pStyle w:val="ListBullet"/>
        <w:spacing w:after="80" w:line="300" w:lineRule="auto"/>
      </w:pPr>
      <w:r>
        <w:rPr>
          <w:rFonts w:ascii="Calibri" w:hAnsi="Calibri"/>
          <w:color w:val="000000"/>
          <w:sz w:val="22"/>
        </w:rPr>
        <w:t>China GMP (2010 Revision), Appendix: Qualification and Validation (effective 1 December 2015)</w:t>
      </w:r>
    </w:p>
    <w:p>
      <w:pPr>
        <w:pStyle w:val="ListBullet"/>
        <w:spacing w:after="80" w:line="300" w:lineRule="auto"/>
      </w:pPr>
      <w:r>
        <w:rPr>
          <w:rFonts w:ascii="Calibri" w:hAnsi="Calibri"/>
          <w:color w:val="000000"/>
          <w:sz w:val="22"/>
        </w:rPr>
        <w:t>EU GMP Annex 11: Computerised Systems (2011)</w:t>
      </w:r>
    </w:p>
    <w:p>
      <w:pPr>
        <w:pStyle w:val="ListBullet"/>
        <w:spacing w:after="80" w:line="300" w:lineRule="auto"/>
      </w:pPr>
      <w:r>
        <w:rPr>
          <w:rFonts w:ascii="Calibri" w:hAnsi="Calibri"/>
          <w:color w:val="000000"/>
          <w:sz w:val="22"/>
        </w:rPr>
        <w:t>EU GMP Annex 15: Qualification and Validation (2015)</w:t>
      </w:r>
    </w:p>
    <w:p>
      <w:pPr>
        <w:pStyle w:val="ListBullet"/>
        <w:spacing w:after="80" w:line="300" w:lineRule="auto"/>
      </w:pPr>
      <w:r>
        <w:rPr>
          <w:rFonts w:ascii="Calibri" w:hAnsi="Calibri"/>
          <w:color w:val="000000"/>
          <w:sz w:val="22"/>
        </w:rPr>
        <w:t>21 CFR Part 11: Electronic Records; Electronic Signatures</w:t>
      </w:r>
    </w:p>
    <w:p>
      <w:pPr>
        <w:pStyle w:val="ListBullet"/>
        <w:spacing w:after="80" w:line="300" w:lineRule="auto"/>
      </w:pPr>
      <w:r>
        <w:rPr>
          <w:rFonts w:ascii="Calibri" w:hAnsi="Calibri"/>
          <w:color w:val="000000"/>
          <w:sz w:val="22"/>
        </w:rPr>
        <w:t>FDA Guidance: Part 11, Electronic Records; Electronic Signatures — Scope and Application</w:t>
      </w:r>
    </w:p>
    <w:p>
      <w:pPr>
        <w:pStyle w:val="ListBullet"/>
        <w:spacing w:after="80" w:line="300" w:lineRule="auto"/>
      </w:pPr>
      <w:r>
        <w:rPr>
          <w:rFonts w:ascii="Calibri" w:hAnsi="Calibri"/>
          <w:color w:val="000000"/>
          <w:sz w:val="22"/>
        </w:rPr>
        <w:t>PIC/S PI 041-1: Good Practices for Data Management and Integrity in Regulated GMP/GDP Environments (2021)</w:t>
      </w:r>
    </w:p>
    <w:p>
      <w:pPr>
        <w:pStyle w:val="ListBullet"/>
        <w:spacing w:after="80" w:line="300" w:lineRule="auto"/>
      </w:pPr>
      <w:r>
        <w:rPr>
          <w:rFonts w:ascii="Calibri" w:hAnsi="Calibri"/>
          <w:color w:val="000000"/>
          <w:sz w:val="22"/>
        </w:rPr>
        <w:t>ISPE GAMP 5, Second Edition (2022), used as non-binding industry guidance</w:t>
      </w:r>
    </w:p>
    <w:p>
      <w:pPr>
        <w:pStyle w:val="Heading1"/>
      </w:pPr>
      <w:r>
        <w:t>1. Incident summary</w:t>
      </w:r>
    </w:p>
    <w:p>
      <w:pPr>
        <w:spacing w:after="120" w:line="300" w:lineRule="auto"/>
      </w:pPr>
      <w:r>
        <w:rPr>
          <w:rFonts w:ascii="Calibri" w:hAnsi="Calibri"/>
          <w:b w:val="0"/>
          <w:i w:val="0"/>
          <w:color w:val="000000"/>
          <w:sz w:val="22"/>
        </w:rPr>
        <w:t>Incident: INC-2027-014 Start: 2027-10-18 07:42 CST End: 2027-10-18 10:00 CST Priority: P1 technical / Medium GxP impact after assessment Affected service: QCLabOne → SAP outbound inspection-status interface</w:t>
      </w:r>
    </w:p>
    <w:p>
      <w:pPr>
        <w:pStyle w:val="Heading1"/>
      </w:pPr>
      <w:r>
        <w:t>2. Timeline</w:t>
      </w:r>
    </w:p>
    <w:tbl>
      <w:tblPr>
        <w:tblStyle w:val="TableGrid"/>
        <w:tblW w:type="dxa" w:w="9360"/>
        <w:tblLayout w:type="fixed"/>
        <w:tblLook w:firstColumn="1" w:firstRow="1" w:lastColumn="0" w:lastRow="0" w:noHBand="0" w:noVBand="1" w:val="04A0"/>
        <w:tblInd w:w="120" w:type="dxa"/>
      </w:tblPr>
      <w:tblGrid>
        <w:gridCol w:w="1682"/>
        <w:gridCol w:w="5784"/>
        <w:gridCol w:w="1894"/>
      </w:tblGrid>
      <w:tr>
        <w:trPr>
          <w:tblHeader w:val="true"/>
        </w:trPr>
        <w:tc>
          <w:tcPr>
            <w:tcW w:type="dxa" w:w="1682"/>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Time</w:t>
            </w:r>
          </w:p>
        </w:tc>
        <w:tc>
          <w:tcPr>
            <w:tcW w:type="dxa" w:w="5784"/>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Event/action</w:t>
            </w:r>
          </w:p>
        </w:tc>
        <w:tc>
          <w:tcPr>
            <w:tcW w:type="dxa" w:w="1894"/>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Owner</w:t>
            </w:r>
          </w:p>
        </w:tc>
      </w:tr>
      <w:tr>
        <w:tc>
          <w:tcPr>
            <w:tcW w:type="dxa" w:w="1682"/>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2027-10-18 07:42</w:t>
            </w:r>
          </w:p>
        </w:tc>
        <w:tc>
          <w:tcPr>
            <w:tcW w:type="dxa" w:w="578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SAP outbound interface alerts on TLS handshake failure</w:t>
            </w:r>
          </w:p>
        </w:tc>
        <w:tc>
          <w:tcPr>
            <w:tcW w:type="dxa" w:w="189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Monitoring</w:t>
            </w:r>
          </w:p>
        </w:tc>
      </w:tr>
      <w:tr>
        <w:tc>
          <w:tcPr>
            <w:tcW w:type="dxa" w:w="1682"/>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07:48</w:t>
            </w:r>
          </w:p>
        </w:tc>
        <w:tc>
          <w:tcPr>
            <w:tcW w:type="dxa" w:w="578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IT confirms client certificate expired at 00:00; inbound SAP requests still queued safely</w:t>
            </w:r>
          </w:p>
        </w:tc>
        <w:tc>
          <w:tcPr>
            <w:tcW w:type="dxa" w:w="189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IT</w:t>
            </w:r>
          </w:p>
        </w:tc>
      </w:tr>
      <w:tr>
        <w:tc>
          <w:tcPr>
            <w:tcW w:type="dxa" w:w="1682"/>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07:55</w:t>
            </w:r>
          </w:p>
        </w:tc>
        <w:tc>
          <w:tcPr>
            <w:tcW w:type="dxa" w:w="578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P1 incident declared; System Owner, QC and QA notified</w:t>
            </w:r>
          </w:p>
        </w:tc>
        <w:tc>
          <w:tcPr>
            <w:tcW w:type="dxa" w:w="189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Incident Commander</w:t>
            </w:r>
          </w:p>
        </w:tc>
      </w:tr>
      <w:tr>
        <w:tc>
          <w:tcPr>
            <w:tcW w:type="dxa" w:w="1682"/>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08:05</w:t>
            </w:r>
          </w:p>
        </w:tc>
        <w:tc>
          <w:tcPr>
            <w:tcW w:type="dxa" w:w="578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Outbound status messages paused; QC instructed not to assume SAP update</w:t>
            </w:r>
          </w:p>
        </w:tc>
        <w:tc>
          <w:tcPr>
            <w:tcW w:type="dxa" w:w="189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 BPO</w:t>
            </w:r>
          </w:p>
        </w:tc>
      </w:tr>
      <w:tr>
        <w:tc>
          <w:tcPr>
            <w:tcW w:type="dxa" w:w="1682"/>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08:20</w:t>
            </w:r>
          </w:p>
        </w:tc>
        <w:tc>
          <w:tcPr>
            <w:tcW w:type="dxa" w:w="578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Emergency certificate renewal approved; no manual result re-entry required</w:t>
            </w:r>
          </w:p>
        </w:tc>
        <w:tc>
          <w:tcPr>
            <w:tcW w:type="dxa" w:w="189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QA/System Owner</w:t>
            </w:r>
          </w:p>
        </w:tc>
      </w:tr>
      <w:tr>
        <w:tc>
          <w:tcPr>
            <w:tcW w:type="dxa" w:w="1682"/>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09:18</w:t>
            </w:r>
          </w:p>
        </w:tc>
        <w:tc>
          <w:tcPr>
            <w:tcW w:type="dxa" w:w="578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New certificate installed and connection test successful</w:t>
            </w:r>
          </w:p>
        </w:tc>
        <w:tc>
          <w:tcPr>
            <w:tcW w:type="dxa" w:w="189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IT</w:t>
            </w:r>
          </w:p>
        </w:tc>
      </w:tr>
      <w:tr>
        <w:tc>
          <w:tcPr>
            <w:tcW w:type="dxa" w:w="1682"/>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09:32</w:t>
            </w:r>
          </w:p>
        </w:tc>
        <w:tc>
          <w:tcPr>
            <w:tcW w:type="dxa" w:w="578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92 queued messages replayed by original message ID</w:t>
            </w:r>
          </w:p>
        </w:tc>
        <w:tc>
          <w:tcPr>
            <w:tcW w:type="dxa" w:w="189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Interface Support</w:t>
            </w:r>
          </w:p>
        </w:tc>
      </w:tr>
      <w:tr>
        <w:tc>
          <w:tcPr>
            <w:tcW w:type="dxa" w:w="1682"/>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09:48</w:t>
            </w:r>
          </w:p>
        </w:tc>
        <w:tc>
          <w:tcPr>
            <w:tcW w:type="dxa" w:w="578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SAP/QCLabOne reconciliation shows 92/92 accepted; no duplicate/loss</w:t>
            </w:r>
          </w:p>
        </w:tc>
        <w:tc>
          <w:tcPr>
            <w:tcW w:type="dxa" w:w="189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QC/IT</w:t>
            </w:r>
          </w:p>
        </w:tc>
      </w:tr>
      <w:tr>
        <w:tc>
          <w:tcPr>
            <w:tcW w:type="dxa" w:w="1682"/>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10:00</w:t>
            </w:r>
          </w:p>
        </w:tc>
        <w:tc>
          <w:tcPr>
            <w:tcW w:type="dxa" w:w="578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Service declared restored; problem record opened</w:t>
            </w:r>
          </w:p>
        </w:tc>
        <w:tc>
          <w:tcPr>
            <w:tcW w:type="dxa" w:w="189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Incident Commander</w:t>
            </w:r>
          </w:p>
        </w:tc>
      </w:tr>
    </w:tbl>
    <w:p>
      <w:pPr>
        <w:spacing w:after="80"/>
      </w:pPr>
    </w:p>
    <w:p>
      <w:pPr>
        <w:pStyle w:val="Heading1"/>
      </w:pPr>
      <w:r>
        <w:t>3. Impact assessment</w:t>
      </w:r>
    </w:p>
    <w:p>
      <w:pPr>
        <w:spacing w:after="120" w:line="300" w:lineRule="auto"/>
      </w:pPr>
      <w:r>
        <w:rPr>
          <w:rFonts w:ascii="Calibri" w:hAnsi="Calibri"/>
          <w:b w:val="0"/>
          <w:i w:val="0"/>
          <w:color w:val="000000"/>
          <w:sz w:val="22"/>
        </w:rPr>
        <w:t>Ninety-two outbound status messages were delayed. QCLabOne results, signatures and audit trails remained available and correct. No message was lost or duplicated. SAP did not receive status until replay, so affected inspection lots remained in the prior/hold state; no batch was incorrectly released. No manual duplicate entry occurred.</w:t>
      </w:r>
    </w:p>
    <w:p>
      <w:pPr>
        <w:pStyle w:val="Heading1"/>
      </w:pPr>
      <w:r>
        <w:t>4. Containment and recovery</w:t>
      </w:r>
    </w:p>
    <w:p>
      <w:pPr>
        <w:spacing w:after="120" w:line="300" w:lineRule="auto"/>
      </w:pPr>
      <w:r>
        <w:rPr>
          <w:rFonts w:ascii="Calibri" w:hAnsi="Calibri"/>
          <w:b w:val="0"/>
          <w:i w:val="0"/>
          <w:color w:val="000000"/>
          <w:sz w:val="22"/>
        </w:rPr>
        <w:t>The failed route was isolated, users were informed, queued messages were preserved and an emergency certificate was installed under approved emergency change. Reconciliation was 100%.</w:t>
      </w:r>
    </w:p>
    <w:p>
      <w:pPr>
        <w:pStyle w:val="Heading1"/>
      </w:pPr>
      <w:r>
        <w:t>5. Disposition</w:t>
      </w:r>
    </w:p>
    <w:p>
      <w:pPr>
        <w:spacing w:after="120" w:line="300" w:lineRule="auto"/>
      </w:pPr>
      <w:r>
        <w:rPr>
          <w:rFonts w:ascii="Calibri" w:hAnsi="Calibri"/>
          <w:b w:val="0"/>
          <w:i w:val="0"/>
          <w:color w:val="000000"/>
          <w:sz w:val="22"/>
        </w:rPr>
        <w:t>No product-quality or record-integrity impact. A problem record was opened because certificate monitoring failed to provide advance warning.</w:t>
      </w:r>
    </w:p>
    <w:p>
      <w:pPr>
        <w:pStyle w:val="Heading1"/>
      </w:pPr>
      <w:r>
        <w:t>6. Related documents</w:t>
      </w:r>
    </w:p>
    <w:tbl>
      <w:tblPr>
        <w:tblStyle w:val="TableGrid"/>
        <w:tblW w:type="dxa" w:w="9360"/>
        <w:tblLayout w:type="fixed"/>
        <w:tblLook w:firstColumn="1" w:firstRow="1" w:lastColumn="0" w:lastRow="0" w:noHBand="0" w:noVBand="1" w:val="04A0"/>
        <w:tblInd w:w="120" w:type="dxa"/>
      </w:tblPr>
      <w:tblGrid>
        <w:gridCol w:w="2224"/>
        <w:gridCol w:w="2038"/>
        <w:gridCol w:w="5098"/>
      </w:tblGrid>
      <w:tr>
        <w:trPr>
          <w:tblHeader w:val="true"/>
        </w:trPr>
        <w:tc>
          <w:tcPr>
            <w:tcW w:type="dxa" w:w="2224"/>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Relationship</w:t>
            </w:r>
          </w:p>
        </w:tc>
        <w:tc>
          <w:tcPr>
            <w:tcW w:type="dxa" w:w="2038"/>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Document ID</w:t>
            </w:r>
          </w:p>
        </w:tc>
        <w:tc>
          <w:tcPr>
            <w:tcW w:type="dxa" w:w="5098"/>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Document</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Input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QCL-2026-ICS-001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[Interface Control Specification](027_Interface_Control_Specification.md)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Input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QCL-2026-BCP-001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[Business Continuity and Disaster Recovery Plan](035_Business_Continuity_and_Disaster_Recovery_Plan.md)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Input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SOP-IT-LIMS-002</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[QCLabOne 2.0 Operations, Maintenance, Backup, Incident, Change and Security SOP](069_Operations_Maintenance_Backup_Incident_Change_and_Security_SOP.md)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Input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QCL-2026-HOV-001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[System Handover and Support Model](076_System_Handover_and_Support_Model.md)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QCL-2027-PRB-006</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[Problem Record and Root Cause Analysis](086_Problem_Record_and_Root_Cause_Analysis.md)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QCL-2027-CHG-021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[Change Control Record](088_Change_Control_Record.md)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QCL-2027-CHG-021-C</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[Change Implementation Verification and Closure](091_Change_Implementation_Verification_and_Closure.md)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QCL-2028-PRR-001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[Annual Periodic Review Report](092_Annual_Periodic_Review_Report.md)</w:t>
            </w:r>
          </w:p>
        </w:tc>
      </w:tr>
    </w:tbl>
    <w:p>
      <w:pPr>
        <w:spacing w:after="80"/>
      </w:pPr>
    </w:p>
    <w:p>
      <w:pPr>
        <w:pStyle w:val="Heading1"/>
      </w:pPr>
      <w:r>
        <w:t>Approval record</w:t>
      </w:r>
    </w:p>
    <w:tbl>
      <w:tblPr>
        <w:tblStyle w:val="TableGrid"/>
        <w:tblW w:type="dxa" w:w="9360"/>
        <w:tblLayout w:type="fixed"/>
        <w:tblLook w:firstColumn="1" w:firstRow="1" w:lastColumn="0" w:lastRow="0" w:noHBand="0" w:noVBand="1" w:val="04A0"/>
        <w:tblInd w:w="120" w:type="dxa"/>
      </w:tblPr>
      <w:tblGrid>
        <w:gridCol w:w="3160"/>
        <w:gridCol w:w="3038"/>
        <w:gridCol w:w="3162"/>
      </w:tblGrid>
      <w:tr>
        <w:trPr>
          <w:tblHeader w:val="true"/>
        </w:trPr>
        <w:tc>
          <w:tcPr>
            <w:tcW w:type="dxa" w:w="3160"/>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Approval step</w:t>
            </w:r>
          </w:p>
        </w:tc>
        <w:tc>
          <w:tcPr>
            <w:tcW w:type="dxa" w:w="3038"/>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Role</w:t>
            </w:r>
          </w:p>
        </w:tc>
        <w:tc>
          <w:tcPr>
            <w:tcW w:type="dxa" w:w="3162"/>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Case outcome</w:t>
            </w:r>
          </w:p>
        </w:tc>
      </w:tr>
      <w:tr>
        <w:tc>
          <w:tcPr>
            <w:tcW w:type="dxa" w:w="3160"/>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Prepared by</w:t>
            </w:r>
          </w:p>
        </w:tc>
        <w:tc>
          <w:tcPr>
            <w:tcW w:type="dxa" w:w="3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System Owner</w:t>
            </w:r>
          </w:p>
        </w:tc>
        <w:tc>
          <w:tcPr>
            <w:tcW w:type="dxa" w:w="3162"/>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Completed</w:t>
            </w:r>
          </w:p>
        </w:tc>
      </w:tr>
      <w:tr>
        <w:tc>
          <w:tcPr>
            <w:tcW w:type="dxa" w:w="3160"/>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Reviewed by</w:t>
            </w:r>
          </w:p>
        </w:tc>
        <w:tc>
          <w:tcPr>
            <w:tcW w:type="dxa" w:w="3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 Business Process Owner</w:t>
            </w:r>
          </w:p>
        </w:tc>
        <w:tc>
          <w:tcPr>
            <w:tcW w:type="dxa" w:w="3162"/>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Completed</w:t>
            </w:r>
          </w:p>
        </w:tc>
      </w:tr>
      <w:tr>
        <w:tc>
          <w:tcPr>
            <w:tcW w:type="dxa" w:w="3160"/>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Approved by</w:t>
            </w:r>
          </w:p>
        </w:tc>
        <w:tc>
          <w:tcPr>
            <w:tcW w:type="dxa" w:w="3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QA System Oversight</w:t>
            </w:r>
          </w:p>
        </w:tc>
        <w:tc>
          <w:tcPr>
            <w:tcW w:type="dxa" w:w="3162"/>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Approved in fictional case</w:t>
            </w:r>
          </w:p>
        </w:tc>
      </w:tr>
    </w:tbl>
    <w:p>
      <w:pPr>
        <w:spacing w:after="80"/>
      </w:pPr>
    </w:p>
    <w:p>
      <w:pPr>
        <w:pStyle w:val="Heading1"/>
      </w:pPr>
      <w:r>
        <w:t>Revision history</w:t>
      </w:r>
    </w:p>
    <w:tbl>
      <w:tblPr>
        <w:tblStyle w:val="TableGrid"/>
        <w:tblW w:type="dxa" w:w="9360"/>
        <w:tblLayout w:type="fixed"/>
        <w:tblLook w:firstColumn="1" w:firstRow="1" w:lastColumn="0" w:lastRow="0" w:noHBand="0" w:noVBand="1" w:val="04A0"/>
        <w:tblInd w:w="120" w:type="dxa"/>
      </w:tblPr>
      <w:tblGrid>
        <w:gridCol w:w="2047"/>
        <w:gridCol w:w="1462"/>
        <w:gridCol w:w="5851"/>
      </w:tblGrid>
      <w:tr>
        <w:trPr>
          <w:tblHeader w:val="true"/>
        </w:trPr>
        <w:tc>
          <w:tcPr>
            <w:tcW w:type="dxa" w:w="2047"/>
            <w:shd w:fill="E8EEF5"/>
            <w:vAlign w:val="center"/>
            <w:tcMar>
              <w:top w:w="80" w:type="dxa"/>
              <w:bottom w:w="80" w:type="dxa"/>
              <w:start w:w="120" w:type="dxa"/>
              <w:end w:w="120" w:type="dxa"/>
            </w:tcMar>
          </w:tcPr>
          <w:p>
            <w:pPr>
              <w:spacing w:after="0" w:line="276" w:lineRule="auto"/>
              <w:jc w:val="center"/>
            </w:pPr>
            <w:r/>
            <w:r>
              <w:rPr>
                <w:rFonts w:ascii="Calibri" w:hAnsi="Calibri"/>
                <w:b/>
                <w:color w:val="000000"/>
                <w:sz w:val="19"/>
              </w:rPr>
              <w:t>Version</w:t>
            </w:r>
          </w:p>
        </w:tc>
        <w:tc>
          <w:tcPr>
            <w:tcW w:type="dxa" w:w="1462"/>
            <w:shd w:fill="E8EEF5"/>
            <w:vAlign w:val="center"/>
            <w:tcMar>
              <w:top w:w="80" w:type="dxa"/>
              <w:bottom w:w="80" w:type="dxa"/>
              <w:start w:w="120" w:type="dxa"/>
              <w:end w:w="120" w:type="dxa"/>
            </w:tcMar>
          </w:tcPr>
          <w:p>
            <w:pPr>
              <w:spacing w:after="0" w:line="276" w:lineRule="auto"/>
              <w:jc w:val="center"/>
            </w:pPr>
            <w:r/>
            <w:r>
              <w:rPr>
                <w:rFonts w:ascii="Calibri" w:hAnsi="Calibri"/>
                <w:b/>
                <w:color w:val="000000"/>
                <w:sz w:val="19"/>
              </w:rPr>
              <w:t>Date</w:t>
            </w:r>
          </w:p>
        </w:tc>
        <w:tc>
          <w:tcPr>
            <w:tcW w:type="dxa" w:w="5851"/>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Change</w:t>
            </w:r>
          </w:p>
        </w:tc>
      </w:tr>
      <w:tr>
        <w:tc>
          <w:tcPr>
            <w:tcW w:type="dxa" w:w="2047"/>
            <w:vAlign w:val="center"/>
            <w:tcMar>
              <w:top w:w="80" w:type="dxa"/>
              <w:bottom w:w="80" w:type="dxa"/>
              <w:start w:w="120" w:type="dxa"/>
              <w:end w:w="120" w:type="dxa"/>
            </w:tcMar>
          </w:tcPr>
          <w:p>
            <w:pPr>
              <w:spacing w:after="0" w:line="276" w:lineRule="auto"/>
              <w:jc w:val="center"/>
            </w:pPr>
            <w:r/>
            <w:r>
              <w:rPr>
                <w:rFonts w:ascii="Calibri" w:hAnsi="Calibri"/>
                <w:b w:val="0"/>
                <w:color w:val="000000"/>
                <w:sz w:val="19"/>
              </w:rPr>
              <w:t>1.0</w:t>
            </w:r>
          </w:p>
        </w:tc>
        <w:tc>
          <w:tcPr>
            <w:tcW w:type="dxa" w:w="1462"/>
            <w:vAlign w:val="center"/>
            <w:tcMar>
              <w:top w:w="80" w:type="dxa"/>
              <w:bottom w:w="80" w:type="dxa"/>
              <w:start w:w="120" w:type="dxa"/>
              <w:end w:w="120" w:type="dxa"/>
            </w:tcMar>
          </w:tcPr>
          <w:p>
            <w:pPr>
              <w:spacing w:after="0" w:line="276" w:lineRule="auto"/>
              <w:jc w:val="center"/>
            </w:pPr>
            <w:r/>
            <w:r>
              <w:rPr>
                <w:rFonts w:ascii="Calibri" w:hAnsi="Calibri"/>
                <w:b w:val="0"/>
                <w:color w:val="000000"/>
                <w:sz w:val="19"/>
              </w:rPr>
              <w:t>2027-12-20</w:t>
            </w:r>
          </w:p>
        </w:tc>
        <w:tc>
          <w:tcPr>
            <w:tcW w:type="dxa" w:w="5851"/>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Initial approved fictional case version.</w:t>
            </w:r>
          </w:p>
        </w:tc>
      </w:tr>
    </w:tbl>
    <w:p>
      <w:pPr>
        <w:spacing w:after="8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595959"/>
        <w:sz w:val="17"/>
      </w:rPr>
      <w:t xml:space="preserve">QCL-2027-INC-014 | Version 1.0 | Completed/Closed in fictional operating record | Page </w:t>
    </w:r>
    <w:r>
      <w:fldChar w:fldCharType="begin"/>
    </w:r>
    <w:r>
      <w:instrText xml:space="preserve"> PAGE </w:instrText>
    </w:r>
    <w:r>
      <w:fldChar w:fldCharType="separate"/>
    </w:r>
    <w:r>
      <w:rPr>
        <w:rFonts w:ascii="Calibri" w:hAnsi="Calibri"/>
        <w:color w:val="595959"/>
        <w:sz w:val="18"/>
      </w:rPr>
      <w:t>1</w:t>
    </w:r>
    <w:r>
      <w:fldChar w:fldCharType="end"/>
    </w:r>
    <w:r>
      <w:rPr>
        <w:rFonts w:ascii="Calibri" w:hAnsi="Calibri"/>
        <w:color w:val="595959"/>
        <w:sz w:val="17"/>
      </w:rPr>
      <w:t xml:space="preserve"> of </w:t>
    </w:r>
    <w:r>
      <w:fldChar w:fldCharType="begin"/>
    </w:r>
    <w:r>
      <w:instrText xml:space="preserve"> NUMPAGES </w:instrText>
    </w:r>
    <w:r>
      <w:fldChar w:fldCharType="separate"/>
    </w:r>
    <w:r>
      <w:rPr>
        <w:rFonts w:ascii="Calibri" w:hAnsi="Calibri"/>
        <w:color w:val="595959"/>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Calibri" w:hAnsi="Calibri"/>
        <w:b/>
        <w:color w:val="595959"/>
        <w:sz w:val="17"/>
      </w:rPr>
      <w:t>QCL-2026 | QCLabOne 2.0 LIMS/LES</w:t>
    </w:r>
    <w:r>
      <w:tab/>
    </w:r>
    <w:r>
      <w:rPr>
        <w:rFonts w:ascii="Calibri" w:hAnsi="Calibri"/>
        <w:color w:val="595959"/>
        <w:sz w:val="17"/>
      </w:rPr>
      <w:t>QCL-2027-INC-014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Incident Record and Impact Assessment</dc:title>
  <dc:subject>GMP CSV controlled-document conversion</dc:subject>
  <dc:creator>CSV108 Markdown DOCX Converter</dc:creator>
  <cp:keywords>CSV, GMP, validation, DOCX, controlled document</cp:keywords>
  <dc:description>Converted from CSV108 Markdown source. Requires site-specific QA review before operational use.</dc:description>
  <cp:lastModifiedBy>CSV108 Markdown DOCX Converter</cp:lastModifiedBy>
  <cp:revision>1</cp:revision>
  <dcterms:created xsi:type="dcterms:W3CDTF">2026-06-19T09:00:00Z</dcterms:created>
  <dcterms:modified xsi:type="dcterms:W3CDTF">2026-06-19T09:00:00Z</dcterms:modified>
  <cp:category>GMP CSV</cp:category>
</cp:coreProperties>
</file>