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Change Implementation Verification and Closure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Implementation record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CHG-2027-021 certificate monitoring was implemented 2027-11-18. LabSphere 8.4.3 was implemented during the approved maintenance window 2027-12-09 22:00–22:48 CST.</w:t>
      </w:r>
    </w:p>
    <w:p>
      <w:pPr>
        <w:pStyle w:val="Heading1"/>
      </w:pPr>
      <w:r>
        <w:t>2. Post-implementation verification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6686"/>
      </w:tblGrid>
      <w:tr>
        <w:trPr>
          <w:tblHeader w:val="true"/>
        </w:trPr>
        <w:tc>
          <w:tcPr>
            <w:tcW w:type="dxa" w:w="26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Check</w:t>
            </w:r>
          </w:p>
        </w:tc>
        <w:tc>
          <w:tcPr>
            <w:tcW w:type="dxa" w:w="66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 result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Application/version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8.4.3 displayed in production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Configuration checksum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configuration unchanged and matches approved baseline revision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Certificate inventory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14/14 production certificates discovered with owner/expiry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Alert simulation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60/30/7-day alerts received by IT/System Owner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 smoke tests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SSO, sample, result, signature, audit, report and interfaces pass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Monitoring/backup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Healthy; first post-change backup pass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Open incidents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</w:tr>
    </w:tbl>
    <w:p>
      <w:pPr>
        <w:spacing w:after="80"/>
      </w:pPr>
    </w:p>
    <w:p>
      <w:pPr>
        <w:pStyle w:val="Heading1"/>
      </w:pPr>
      <w:r>
        <w:t>3. Baseline updates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CI-001 updated to 8.4.3; production baseline revision is `QCL-PROD-BL-1.1`. Release and regression evidence were archived.</w:t>
      </w:r>
    </w:p>
    <w:p>
      <w:pPr>
        <w:pStyle w:val="Heading1"/>
      </w:pPr>
      <w:r>
        <w:t>4. Closure decision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Change objectives achieved; no adverse impact; rollback not required. Change closed 2027-12-20.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[Patch and Upgrade Impact Assessment](089_Patch_and_Upgrade_Impact_Assessment.md)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[Regression Test Plan and Report](090_Regression_Test_Plan_and_Report.md)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QCL-2027-CHG-021-C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QCL-2027-CHG-021-C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Implementation Verification and Closure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