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Annual Periodic Review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period and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Review of the validated state from go-live 2027-06-15 through 2028-02-29.</w:t>
      </w:r>
    </w:p>
    <w:p>
      <w:pPr>
        <w:pStyle w:val="Heading1"/>
      </w:pPr>
      <w:r>
        <w:t>2. Current configuration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Production runs LabSphere 8.4.3 with baseline `QCL-PROD-BL-1.1`. Intended use and business scope remain unchanged. Inventory, owners, interfaces and record boundaries remain current.</w:t>
      </w:r>
    </w:p>
    <w:p>
      <w:pPr>
        <w:pStyle w:val="Heading1"/>
      </w:pPr>
      <w:r>
        <w:t>3. Operating metrics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29"/>
        <w:gridCol w:w="3929"/>
        <w:gridCol w:w="2858"/>
        <w:gridCol w:w="1144"/>
      </w:tblGrid>
      <w:tr>
        <w:trPr>
          <w:tblHeader w:val="true"/>
        </w:trPr>
        <w:tc>
          <w:tcPr>
            <w:tcW w:type="dxa" w:w="14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39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Observed</w:t>
            </w:r>
          </w:p>
        </w:tc>
        <w:tc>
          <w:tcPr>
            <w:tcW w:type="dxa" w:w="28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Criterion/assessment</w:t>
            </w:r>
          </w:p>
        </w:tc>
        <w:tc>
          <w:tcPr>
            <w:tcW w:type="dxa" w:w="11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availability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99.94%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≥99.9%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incidents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 (certificate expiry)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data loss; RCA/CAPA effective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Acceptable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Other incidents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17 P2/P3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closed; no adverse trend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Acceptable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Changes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12 planned + 1 emergency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approved/closed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Acceptable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CAPA/deviation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overdue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 review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Quarterly complete; monthly privileged complete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open conflict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Audit-trail review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Quarterly and record-level complete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unexplained event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Daily monitored; annual restore pass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RPO/RTO met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confirmed compromise; vulnerabilities managed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8.4.3 applied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SLA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targets met except one planned notice at 82 vs 90 days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Low issue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Acceptable with action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Performance/capacity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Peak 61%; response within target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capacity concern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Training/SOP</w:t>
            </w:r>
          </w:p>
        </w:tc>
        <w:tc>
          <w:tcPr>
            <w:tcW w:type="dxa" w:w="3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Current; role changes linked to training</w:t>
            </w:r>
          </w:p>
        </w:tc>
        <w:tc>
          <w:tcPr>
            <w:tcW w:type="dxa" w:w="2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overdue critical training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</w:tbl>
    <w:p>
      <w:pPr>
        <w:spacing w:after="80"/>
      </w:pPr>
    </w:p>
    <w:p>
      <w:pPr>
        <w:pStyle w:val="Heading1"/>
      </w:pPr>
      <w:r>
        <w:t>4. Significant events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INC-2027-014 delayed 92 SAP messages with no loss/duplicate or incorrect release. ODV-004 granted an analyst excessive privilege for 47 minutes with no activity; provisioning CAPA was effective. Both are closed.</w:t>
      </w:r>
    </w:p>
    <w:p>
      <w:pPr>
        <w:pStyle w:val="Heading1"/>
      </w:pPr>
      <w:r>
        <w:t>5. Requirements/risk review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new intended use or high risk emerged. Certificate monitoring and access-provisioning controls were strengthened. Residual risk remains acceptable. Legacy archive verification is complete and retirement may proceed.</w:t>
      </w:r>
    </w:p>
    <w:p>
      <w:pPr>
        <w:pStyle w:val="Heading1"/>
      </w:pPr>
      <w:r>
        <w:t>6. Actions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Supplier to provide planned change notice as close as practicable to 90 days. 2. Continue quarterly audit/access review and annual restore/DR. 3. Complete Legacy LIMS retirement by 2028-03-31. 4. Next periodic review due 2029-03-15 unless triggered earlier.</w:t>
      </w:r>
    </w:p>
    <w:p>
      <w:pPr>
        <w:pStyle w:val="Heading1"/>
      </w:pPr>
      <w:r>
        <w:t>7.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QCLabOne remains in a validated state and fit for intended use.</w:t>
      </w:r>
    </w:p>
    <w:p>
      <w:pPr>
        <w:pStyle w:val="Heading1"/>
      </w:pPr>
      <w:r>
        <w:t>8.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Inventory](003_Computerised_System_Inventory.md)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QCL-2028-RVA-001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[Revalidation Assessment and Report](093_Revalidation_Assessment_and_Report.md)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Decommissioning Request](099_Legacy_LIMS_Decommissioning_Request.md)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Risk Assessment](100_Legacy_LIMS_Retirement_Risk_Assessment.md)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Plan](101_Legacy_LIMS_Retirement_Plan.md)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QCL-2028-PRR-001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QCL-2028-PRR-001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Periodic Review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