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Revalidation Assessment and Report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QCL-2028-RVA-001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2028-03-15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QCL-2028-RVA-001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2028-03-15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Trigger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Annual periodic review and cumulative changes through 2028-02-29.</w:t>
      </w:r>
    </w:p>
    <w:p>
      <w:pPr>
        <w:pStyle w:val="Heading1"/>
      </w:pPr>
      <w:r>
        <w:t>2. Assessment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818"/>
        <w:gridCol w:w="1422"/>
        <w:gridCol w:w="4120"/>
      </w:tblGrid>
      <w:tr>
        <w:trPr>
          <w:tblHeader w:val="true"/>
        </w:trPr>
        <w:tc>
          <w:tcPr>
            <w:tcW w:type="dxa" w:w="381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Question</w:t>
            </w:r>
          </w:p>
        </w:tc>
        <w:tc>
          <w:tcPr>
            <w:tcW w:type="dxa" w:w="142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Answer</w:t>
            </w:r>
          </w:p>
        </w:tc>
        <w:tc>
          <w:tcPr>
            <w:tcW w:type="dxa" w:w="41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Rationale</w:t>
            </w:r>
          </w:p>
        </w:tc>
      </w:tr>
      <w:tr>
        <w:tc>
          <w:tcPr>
            <w:tcW w:type="dxa" w:w="38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Has intended use changed?</w:t>
            </w:r>
          </w:p>
        </w:tc>
        <w:tc>
          <w:tcPr>
            <w:tcW w:type="dxa" w:w="14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</w:t>
            </w:r>
          </w:p>
        </w:tc>
        <w:tc>
          <w:tcPr>
            <w:tcW w:type="dxa" w:w="4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Same site, modules, processes and record boundaries</w:t>
            </w:r>
          </w:p>
        </w:tc>
      </w:tr>
      <w:tr>
        <w:tc>
          <w:tcPr>
            <w:tcW w:type="dxa" w:w="38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Has architecture materially changed?</w:t>
            </w:r>
          </w:p>
        </w:tc>
        <w:tc>
          <w:tcPr>
            <w:tcW w:type="dxa" w:w="14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</w:t>
            </w:r>
          </w:p>
        </w:tc>
        <w:tc>
          <w:tcPr>
            <w:tcW w:type="dxa" w:w="4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Patch and monitoring change only; no data model/platform redesign</w:t>
            </w:r>
          </w:p>
        </w:tc>
      </w:tr>
      <w:tr>
        <w:tc>
          <w:tcPr>
            <w:tcW w:type="dxa" w:w="38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Have critical configuration/calculations changed?</w:t>
            </w:r>
          </w:p>
        </w:tc>
        <w:tc>
          <w:tcPr>
            <w:tcW w:type="dxa" w:w="14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</w:t>
            </w:r>
          </w:p>
        </w:tc>
        <w:tc>
          <w:tcPr>
            <w:tcW w:type="dxa" w:w="4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Configuration checksum retained; no formula/limit logic change</w:t>
            </w:r>
          </w:p>
        </w:tc>
      </w:tr>
      <w:tr>
        <w:tc>
          <w:tcPr>
            <w:tcW w:type="dxa" w:w="38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Were significant incidents or DI failures observed?</w:t>
            </w:r>
          </w:p>
        </w:tc>
        <w:tc>
          <w:tcPr>
            <w:tcW w:type="dxa" w:w="14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unresolved issue</w:t>
            </w:r>
          </w:p>
        </w:tc>
        <w:tc>
          <w:tcPr>
            <w:tcW w:type="dxa" w:w="4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Certificate and access events closed without data/product impact</w:t>
            </w:r>
          </w:p>
        </w:tc>
      </w:tr>
      <w:tr>
        <w:tc>
          <w:tcPr>
            <w:tcW w:type="dxa" w:w="38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Did supplier/QMS status deteriorate?</w:t>
            </w:r>
          </w:p>
        </w:tc>
        <w:tc>
          <w:tcPr>
            <w:tcW w:type="dxa" w:w="14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</w:t>
            </w:r>
          </w:p>
        </w:tc>
        <w:tc>
          <w:tcPr>
            <w:tcW w:type="dxa" w:w="4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Annual supplier review acceptable</w:t>
            </w:r>
          </w:p>
        </w:tc>
      </w:tr>
      <w:tr>
        <w:tc>
          <w:tcPr>
            <w:tcW w:type="dxa" w:w="38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Are URS/risk/test records current?</w:t>
            </w:r>
          </w:p>
        </w:tc>
        <w:tc>
          <w:tcPr>
            <w:tcW w:type="dxa" w:w="14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Yes</w:t>
            </w:r>
          </w:p>
        </w:tc>
        <w:tc>
          <w:tcPr>
            <w:tcW w:type="dxa" w:w="4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Periodic review confirms traceability and controls</w:t>
            </w:r>
          </w:p>
        </w:tc>
      </w:tr>
      <w:tr>
        <w:tc>
          <w:tcPr>
            <w:tcW w:type="dxa" w:w="38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Is full revalidation necessary?</w:t>
            </w:r>
          </w:p>
        </w:tc>
        <w:tc>
          <w:tcPr>
            <w:tcW w:type="dxa" w:w="14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</w:t>
            </w:r>
          </w:p>
        </w:tc>
        <w:tc>
          <w:tcPr>
            <w:tcW w:type="dxa" w:w="4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Focused regression and operational evidence are adequate</w:t>
            </w:r>
          </w:p>
        </w:tc>
      </w:tr>
    </w:tbl>
    <w:p>
      <w:pPr>
        <w:spacing w:after="80"/>
      </w:pPr>
    </w:p>
    <w:p>
      <w:pPr>
        <w:pStyle w:val="Heading1"/>
      </w:pPr>
      <w:r>
        <w:t>3. Revalidation decision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Full revalidation is not required. The system remains validated based on approved baseline, passing focused regression, operational monitoring, access/audit reviews, restore/DR and supplier oversight.</w:t>
      </w:r>
    </w:p>
    <w:p>
      <w:pPr>
        <w:pStyle w:val="Heading1"/>
      </w:pPr>
      <w:r>
        <w:t>4. Future triggers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New module/business process; major platform/data-model change; migration of another site; material calculation/approval redesign; confirmed data-integrity failure; prolonged loss; supplier/hosting change; repeated ineffective control.</w:t>
      </w: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Requirements Traceability Matrix](064_Final_Requirements_Traceability_Matrix.md)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QCL-2027-CHG-021-C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[Change Implementation Verification and Closure](091_Change_Implementation_Verification_and_Closure.md)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QCL-2028-FDI-001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Validation and Retirement Dossier Index](108_Final_Validation_and_Retirement_Dossier_Index.md)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System Oversight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2028-03-15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QCL-2028-RVA-001 | Version 1.0 | Completed/Closed in fictional operating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QCL-2028-RVA-001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Revalidation Assessment and Report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