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Cybersecurity Vulnerability and Monitoring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period and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Security review from 2027-06-15 through 2028-02-29 covering cloud service, gateway, identity, interfaces, privileged/vendor access, vulnerabilities, malware, certificates and backup protection.</w:t>
      </w:r>
    </w:p>
    <w:p>
      <w:pPr>
        <w:pStyle w:val="Heading1"/>
      </w:pPr>
      <w:r>
        <w:t>2. Security metrics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24"/>
        <w:gridCol w:w="4286"/>
        <w:gridCol w:w="1750"/>
      </w:tblGrid>
      <w:tr>
        <w:trPr>
          <w:tblHeader w:val="true"/>
        </w:trPr>
        <w:tc>
          <w:tcPr>
            <w:tcW w:type="dxa" w:w="33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42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Observed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Assessment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vulnerabilities open &gt;15 days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 vulnerabilities open &gt;30 days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OS patch compliance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within policy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release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8.4.3; supplier security fixes applied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Current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Malware/EDR alerts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 benign administrative-tool alerts; investigated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compromise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login anomalies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credential-stuffing or unusual source pattern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Acceptable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sessions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14 during review year; all ticketed and reviewed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Certificate inventory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14/14 monitored with 60/30/7 alerts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 after CAPA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Penetration-test findings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Critical, 0 High, 3 Medium; supplier closed 3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immutability test</w:t>
            </w:r>
          </w:p>
        </w:tc>
        <w:tc>
          <w:tcPr>
            <w:tcW w:type="dxa" w:w="4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</w:tbl>
    <w:p>
      <w:pPr>
        <w:spacing w:after="80"/>
      </w:pPr>
    </w:p>
    <w:p>
      <w:pPr>
        <w:pStyle w:val="Heading1"/>
      </w:pPr>
      <w:r>
        <w:t>3. Significant items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INC-2027-014 exposed a monitoring-process gap, not a security breach. CHG-2027-021 corrected certificate inventory/alerts. ODV-004 was an access provisioning error; no privileged activity occurred. No confirmed unauthorised access or data exfiltration occurred.</w:t>
      </w:r>
    </w:p>
    <w:p>
      <w:pPr>
        <w:pStyle w:val="Heading1"/>
      </w:pPr>
      <w:r>
        <w:t>4. Privacy review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new personal data category or cross-border processing was introduced. User activity data was accessed only for approved operations, quality, security or investigation purposes.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Cybersecurity residual risk is Medium/acceptable for the high GxP system. Continue monthly vulnerability review, vendor-session review and annual penetration/DR evidence assessment.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QCL-2028-CVM-001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QCL-2028-CVM-001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Vulnerability and Monitoring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