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Supplier Periodic Performance and SLA Review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QCL-2028-SPR-001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QCL-2028-SPR-001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Review scope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Annual performance review of LabSphere Technologies Ltd. covering service, support, quality, security, changes, backup/DR and inspection support from 2027-06-15 through 2028-02-29.</w:t>
      </w:r>
    </w:p>
    <w:p>
      <w:pPr>
        <w:pStyle w:val="Heading1"/>
      </w:pPr>
      <w:r>
        <w:t>2. SLA performance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86"/>
        <w:gridCol w:w="2500"/>
        <w:gridCol w:w="3501"/>
        <w:gridCol w:w="1073"/>
      </w:tblGrid>
      <w:tr>
        <w:trPr>
          <w:tblHeader w:val="true"/>
        </w:trPr>
        <w:tc>
          <w:tcPr>
            <w:tcW w:type="dxa" w:w="22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Metric</w:t>
            </w:r>
          </w:p>
        </w:tc>
        <w:tc>
          <w:tcPr>
            <w:tcW w:type="dxa" w:w="2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Target</w:t>
            </w:r>
          </w:p>
        </w:tc>
        <w:tc>
          <w:tcPr>
            <w:tcW w:type="dxa" w:w="350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Actual</w:t>
            </w:r>
          </w:p>
        </w:tc>
        <w:tc>
          <w:tcPr>
            <w:tcW w:type="dxa" w:w="107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Outcome</w:t>
            </w:r>
          </w:p>
        </w:tc>
      </w:tr>
      <w:tr>
        <w:tc>
          <w:tcPr>
            <w:tcW w:type="dxa" w:w="22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Availability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≥99.9% monthly</w:t>
            </w:r>
          </w:p>
        </w:tc>
        <w:tc>
          <w:tcPr>
            <w:tcW w:type="dxa" w:w="35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99.94% annualised</w:t>
            </w:r>
          </w:p>
        </w:tc>
        <w:tc>
          <w:tcPr>
            <w:tcW w:type="dxa" w:w="10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Met</w:t>
            </w:r>
          </w:p>
        </w:tc>
      </w:tr>
      <w:tr>
        <w:tc>
          <w:tcPr>
            <w:tcW w:type="dxa" w:w="22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P1 acknowledgement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≤15 min</w:t>
            </w:r>
          </w:p>
        </w:tc>
        <w:tc>
          <w:tcPr>
            <w:tcW w:type="dxa" w:w="35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9 min for INC-2027-014</w:t>
            </w:r>
          </w:p>
        </w:tc>
        <w:tc>
          <w:tcPr>
            <w:tcW w:type="dxa" w:w="10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Met</w:t>
            </w:r>
          </w:p>
        </w:tc>
      </w:tr>
      <w:tr>
        <w:tc>
          <w:tcPr>
            <w:tcW w:type="dxa" w:w="22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P1 workaround/restoration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Target 4 h</w:t>
            </w:r>
          </w:p>
        </w:tc>
        <w:tc>
          <w:tcPr>
            <w:tcW w:type="dxa" w:w="35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 h 18 min</w:t>
            </w:r>
          </w:p>
        </w:tc>
        <w:tc>
          <w:tcPr>
            <w:tcW w:type="dxa" w:w="10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Met</w:t>
            </w:r>
          </w:p>
        </w:tc>
      </w:tr>
      <w:tr>
        <w:tc>
          <w:tcPr>
            <w:tcW w:type="dxa" w:w="22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Backup/DR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RPO 15 min; RTO 8 h</w:t>
            </w:r>
          </w:p>
        </w:tc>
        <w:tc>
          <w:tcPr>
            <w:tcW w:type="dxa" w:w="35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Restore/DR tests pass</w:t>
            </w:r>
          </w:p>
        </w:tc>
        <w:tc>
          <w:tcPr>
            <w:tcW w:type="dxa" w:w="10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Met</w:t>
            </w:r>
          </w:p>
        </w:tc>
      </w:tr>
      <w:tr>
        <w:tc>
          <w:tcPr>
            <w:tcW w:type="dxa" w:w="22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Critical security notification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≤4 h</w:t>
            </w:r>
          </w:p>
        </w:tc>
        <w:tc>
          <w:tcPr>
            <w:tcW w:type="dxa" w:w="35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qualifying incident</w:t>
            </w:r>
          </w:p>
        </w:tc>
        <w:tc>
          <w:tcPr>
            <w:tcW w:type="dxa" w:w="10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Met</w:t>
            </w:r>
          </w:p>
        </w:tc>
      </w:tr>
      <w:tr>
        <w:tc>
          <w:tcPr>
            <w:tcW w:type="dxa" w:w="22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Planned functional change notice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90 days where practicable</w:t>
            </w:r>
          </w:p>
        </w:tc>
        <w:tc>
          <w:tcPr>
            <w:tcW w:type="dxa" w:w="35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One release notified 82 days</w:t>
            </w:r>
          </w:p>
        </w:tc>
        <w:tc>
          <w:tcPr>
            <w:tcW w:type="dxa" w:w="10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Minor shortfall</w:t>
            </w:r>
          </w:p>
        </w:tc>
      </w:tr>
      <w:tr>
        <w:tc>
          <w:tcPr>
            <w:tcW w:type="dxa" w:w="22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Support ticket closure quality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Root cause/evidence for GxP tickets</w:t>
            </w:r>
          </w:p>
        </w:tc>
        <w:tc>
          <w:tcPr>
            <w:tcW w:type="dxa" w:w="35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 6 GxP-related tickets complete</w:t>
            </w:r>
          </w:p>
        </w:tc>
        <w:tc>
          <w:tcPr>
            <w:tcW w:type="dxa" w:w="10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Met</w:t>
            </w:r>
          </w:p>
        </w:tc>
      </w:tr>
      <w:tr>
        <w:tc>
          <w:tcPr>
            <w:tcW w:type="dxa" w:w="22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audit CAPA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Closed by due date</w:t>
            </w:r>
          </w:p>
        </w:tc>
        <w:tc>
          <w:tcPr>
            <w:tcW w:type="dxa" w:w="35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 closed</w:t>
            </w:r>
          </w:p>
        </w:tc>
        <w:tc>
          <w:tcPr>
            <w:tcW w:type="dxa" w:w="10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Met</w:t>
            </w:r>
          </w:p>
        </w:tc>
      </w:tr>
      <w:tr>
        <w:tc>
          <w:tcPr>
            <w:tcW w:type="dxa" w:w="22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 export/inspection support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Within agreed request</w:t>
            </w:r>
          </w:p>
        </w:tc>
        <w:tc>
          <w:tcPr>
            <w:tcW w:type="dxa" w:w="35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Two mock requests fulfilled within 1 business day</w:t>
            </w:r>
          </w:p>
        </w:tc>
        <w:tc>
          <w:tcPr>
            <w:tcW w:type="dxa" w:w="10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Met</w:t>
            </w:r>
          </w:p>
        </w:tc>
      </w:tr>
    </w:tbl>
    <w:p>
      <w:pPr>
        <w:spacing w:after="80"/>
      </w:pPr>
    </w:p>
    <w:p>
      <w:pPr>
        <w:pStyle w:val="Heading1"/>
      </w:pPr>
      <w:r>
        <w:t>3. Quality status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No critical/major supplier quality event occurred. Supplier QMS certification and subcontractor list remained current. Release 8.4.3 evidence was adequate. Audit CAPAs remained effective.</w:t>
      </w:r>
    </w:p>
    <w:p>
      <w:pPr>
        <w:pStyle w:val="Heading1"/>
      </w:pPr>
      <w:r>
        <w:t>4. Action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Supplier will improve early release roadmap visibility to support the 90-day notice target. This is not a qualification-blocking issue.</w:t>
      </w:r>
    </w:p>
    <w:p>
      <w:pPr>
        <w:pStyle w:val="Heading1"/>
      </w:pPr>
      <w:r>
        <w:t>5. Qualification decision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Supplier remains approved as a Critical GxP Service Provider. Next review due 2029-03-15 or earlier upon significant adverse event/change.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QCL-2026-SQA-001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Qualification Assessment](018_Supplier_Qualification_Assessment.md)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Audit Report and CAPA](019_Supplier_Audit_Report_and_CAPA.md)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QCL-2026-QTA-001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[Quality/Technical Agreement and Service Level Agreement](020_Quality_Technical_Agreement_and_SLA.md)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QCL-2026-HOV-001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Handover and Support Model](076_System_Handover_and_Support_Model.md)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QCL-2027-PAT-003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[Patch and Upgrade Impact Assessment](089_Patch_and_Upgrade_Impact_Assessment.md)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QCL-2027-CHG-021-C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Implementation Verification and Closure](091_Change_Implementation_Verification_and_Closure.md)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QCL-2028-CVM-001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Vulnerability and Monitoring Report](094_Cybersecurity_Vulnerability_and_Monitoring_Report.md)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QCL-2028-DRE-001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Exercise Report](095_Business_Continuity_and_DR_Exercise_Report.md)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QCL-2028-FDI-001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Validation and Retirement Dossier Index](108_Final_Validation_and_Retirement_Dossier_Index.md)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QCL-2028-SPR-001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QCL-2028-SPR-001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Supplier Periodic Performance and SLA Review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