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Inspection Readiness Dossier and Audit Response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dossier supports inspection readiness and records the 2028-03-06 mock inspection.</w:t>
      </w:r>
    </w:p>
    <w:p>
      <w:pPr>
        <w:pStyle w:val="Heading1"/>
      </w:pPr>
      <w:r>
        <w:t>2. Dossier map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54"/>
        <w:gridCol w:w="5245"/>
        <w:gridCol w:w="2161"/>
      </w:tblGrid>
      <w:tr>
        <w:trPr>
          <w:tblHeader w:val="true"/>
        </w:trPr>
        <w:tc>
          <w:tcPr>
            <w:tcW w:type="dxa" w:w="195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Topic</w:t>
            </w:r>
          </w:p>
        </w:tc>
        <w:tc>
          <w:tcPr>
            <w:tcW w:type="dxa" w:w="524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Evidence group</w:t>
            </w:r>
          </w:p>
        </w:tc>
        <w:tc>
          <w:tcPr>
            <w:tcW w:type="dxa" w:w="216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Readiness</w:t>
            </w:r>
          </w:p>
        </w:tc>
      </w:tr>
      <w:tr>
        <w:tc>
          <w:tcPr>
            <w:tcW w:type="dxa" w:w="19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Governance</w:t>
            </w:r>
          </w:p>
        </w:tc>
        <w:tc>
          <w:tcPr>
            <w:tcW w:type="dxa" w:w="52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SOP, VMP, inventory, RACI</w:t>
            </w:r>
          </w:p>
        </w:tc>
        <w:tc>
          <w:tcPr>
            <w:tcW w:type="dxa" w:w="21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Available and current</w:t>
            </w:r>
          </w:p>
        </w:tc>
      </w:tr>
      <w:tr>
        <w:tc>
          <w:tcPr>
            <w:tcW w:type="dxa" w:w="19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Intended use/risk</w:t>
            </w:r>
          </w:p>
        </w:tc>
        <w:tc>
          <w:tcPr>
            <w:tcW w:type="dxa" w:w="52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Scope, intended use, GxP, DIRA, Part 11, FRA</w:t>
            </w:r>
          </w:p>
        </w:tc>
        <w:tc>
          <w:tcPr>
            <w:tcW w:type="dxa" w:w="21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Traceable</w:t>
            </w:r>
          </w:p>
        </w:tc>
      </w:tr>
      <w:tr>
        <w:tc>
          <w:tcPr>
            <w:tcW w:type="dxa" w:w="19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</w:t>
            </w:r>
          </w:p>
        </w:tc>
        <w:tc>
          <w:tcPr>
            <w:tcW w:type="dxa" w:w="52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Assessment, audit/CAPA, agreement, annual review</w:t>
            </w:r>
          </w:p>
        </w:tc>
        <w:tc>
          <w:tcPr>
            <w:tcW w:type="dxa" w:w="21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Current</w:t>
            </w:r>
          </w:p>
        </w:tc>
      </w:tr>
      <w:tr>
        <w:tc>
          <w:tcPr>
            <w:tcW w:type="dxa" w:w="19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Requirements/design</w:t>
            </w:r>
          </w:p>
        </w:tc>
        <w:tc>
          <w:tcPr>
            <w:tcW w:type="dxa" w:w="52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URS, FS/DS/CS, architecture, interfaces, data flow</w:t>
            </w:r>
          </w:p>
        </w:tc>
        <w:tc>
          <w:tcPr>
            <w:tcW w:type="dxa" w:w="21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</w:t>
            </w:r>
          </w:p>
        </w:tc>
      </w:tr>
      <w:tr>
        <w:tc>
          <w:tcPr>
            <w:tcW w:type="dxa" w:w="19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  <w:tc>
          <w:tcPr>
            <w:tcW w:type="dxa" w:w="52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FAT/SAT/IQ/OQ/PQ and specialised tests</w:t>
            </w:r>
          </w:p>
        </w:tc>
        <w:tc>
          <w:tcPr>
            <w:tcW w:type="dxa" w:w="21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Indexed</w:t>
            </w:r>
          </w:p>
        </w:tc>
      </w:tr>
      <w:tr>
        <w:tc>
          <w:tcPr>
            <w:tcW w:type="dxa" w:w="19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Issues</w:t>
            </w:r>
          </w:p>
        </w:tc>
        <w:tc>
          <w:tcPr>
            <w:tcW w:type="dxa" w:w="52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Defect/deviation/CAPA</w:t>
            </w:r>
          </w:p>
        </w:tc>
        <w:tc>
          <w:tcPr>
            <w:tcW w:type="dxa" w:w="21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Closed and traceable</w:t>
            </w:r>
          </w:p>
        </w:tc>
      </w:tr>
      <w:tr>
        <w:tc>
          <w:tcPr>
            <w:tcW w:type="dxa" w:w="19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Release</w:t>
            </w:r>
          </w:p>
        </w:tc>
        <w:tc>
          <w:tcPr>
            <w:tcW w:type="dxa" w:w="52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RTM, VSR, migration, readiness, baseline, approval</w:t>
            </w:r>
          </w:p>
        </w:tc>
        <w:tc>
          <w:tcPr>
            <w:tcW w:type="dxa" w:w="21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</w:t>
            </w:r>
          </w:p>
        </w:tc>
      </w:tr>
      <w:tr>
        <w:tc>
          <w:tcPr>
            <w:tcW w:type="dxa" w:w="19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  <w:tc>
          <w:tcPr>
            <w:tcW w:type="dxa" w:w="52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Access/audit/backup/incident/change/periodic review</w:t>
            </w:r>
          </w:p>
        </w:tc>
        <w:tc>
          <w:tcPr>
            <w:tcW w:type="dxa" w:w="21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Current</w:t>
            </w:r>
          </w:p>
        </w:tc>
      </w:tr>
      <w:tr>
        <w:tc>
          <w:tcPr>
            <w:tcW w:type="dxa" w:w="195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Archive/retirement</w:t>
            </w:r>
          </w:p>
        </w:tc>
        <w:tc>
          <w:tcPr>
            <w:tcW w:type="dxa" w:w="524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records, retrievability, plan</w:t>
            </w:r>
          </w:p>
        </w:tc>
        <w:tc>
          <w:tcPr>
            <w:tcW w:type="dxa" w:w="21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Ready</w:t>
            </w:r>
          </w:p>
        </w:tc>
      </w:tr>
    </w:tbl>
    <w:p>
      <w:pPr>
        <w:spacing w:after="80"/>
      </w:pPr>
    </w:p>
    <w:p>
      <w:pPr>
        <w:pStyle w:val="Heading1"/>
      </w:pPr>
      <w:r>
        <w:t>3. Mock inspection requests and response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88"/>
        <w:gridCol w:w="4680"/>
        <w:gridCol w:w="1192"/>
      </w:tblGrid>
      <w:tr>
        <w:trPr>
          <w:tblHeader w:val="true"/>
        </w:trPr>
        <w:tc>
          <w:tcPr>
            <w:tcW w:type="dxa" w:w="34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Request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Response/evidence</w:t>
            </w:r>
          </w:p>
        </w:tc>
        <w:tc>
          <w:tcPr>
            <w:tcW w:type="dxa" w:w="119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3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Show lifecycle trace for an assay result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 → CDS link → calculation → audit → signatures → SAP status traced in 18 minutes</w:t>
            </w:r>
          </w:p>
        </w:tc>
        <w:tc>
          <w:tcPr>
            <w:tcW w:type="dxa" w:w="11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  <w:tr>
        <w:tc>
          <w:tcPr>
            <w:tcW w:type="dxa" w:w="3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Show user role approval and latest review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UAR, training, access review and privileged review provided</w:t>
            </w:r>
          </w:p>
        </w:tc>
        <w:tc>
          <w:tcPr>
            <w:tcW w:type="dxa" w:w="11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  <w:tr>
        <w:tc>
          <w:tcPr>
            <w:tcW w:type="dxa" w:w="3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Show audit-trail review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Q3 review, record-level example and CAPA effectiveness provided</w:t>
            </w:r>
          </w:p>
        </w:tc>
        <w:tc>
          <w:tcPr>
            <w:tcW w:type="dxa" w:w="11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  <w:tr>
        <w:tc>
          <w:tcPr>
            <w:tcW w:type="dxa" w:w="3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Show backup/restore and DR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Monitoring, restore and 2028 exercise evidence provided</w:t>
            </w:r>
          </w:p>
        </w:tc>
        <w:tc>
          <w:tcPr>
            <w:tcW w:type="dxa" w:w="11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  <w:tr>
        <w:tc>
          <w:tcPr>
            <w:tcW w:type="dxa" w:w="3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Show supplier control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Qualification, audit/CAPA, agreement and SLA review provided</w:t>
            </w:r>
          </w:p>
        </w:tc>
        <w:tc>
          <w:tcPr>
            <w:tcW w:type="dxa" w:w="11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  <w:tr>
        <w:tc>
          <w:tcPr>
            <w:tcW w:type="dxa" w:w="34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Retrieve a 2013 legacy record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package, attachment and audit history retrieved in 11 minutes</w:t>
            </w:r>
          </w:p>
        </w:tc>
        <w:tc>
          <w:tcPr>
            <w:tcW w:type="dxa" w:w="11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Accepted</w:t>
            </w:r>
          </w:p>
        </w:tc>
      </w:tr>
    </w:tbl>
    <w:p>
      <w:pPr>
        <w:spacing w:after="80"/>
      </w:pPr>
    </w:p>
    <w:p>
      <w:pPr>
        <w:pStyle w:val="Heading1"/>
      </w:pPr>
      <w:r>
        <w:t>4. Mock inspection observations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1. Minor: Dossier index used both “System Owner” and “QC System Owner” labels; index standardised. 2. Observation: Include a one-page official-record boundary diagram in the front of the dossier; added. 3. No critical/major data-integrity or validation gap identified.</w:t>
      </w:r>
    </w:p>
    <w:p>
      <w:pPr>
        <w:pStyle w:val="Heading1"/>
      </w:pPr>
      <w:r>
        <w:t>5. Audit-response record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Actions were completed by 2028-03-12. Evidence and response approval are retained with this document.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QCL-2026-ERES-001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[21 CFR Part 11 and EU Annex 11 Assessment](013_21_CFR_Part_11_and_EU_Annex_11_Assessment.md)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Deliverable List and Schedule](016_Master_Deliverable_List_and_Schedule.md)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QCL-2027-ATR-001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Audit Trail Review Record](081_Periodic_Audit_Trail_Review_Record.md)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QCL-2027-DIM-001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Monitoring and Trend Report](082_Data_Integrity_Monitoring_and_Trend_Report.md)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Exercise Report](095_Business_Continuity_and_DR_Exercise_Report.md)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Periodic Performance and SLA Review](096_Supplier_Periodic_Performance_and_SLA_Review.md)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and Data Archive Record](097_System_and_Data_Archive_Record.md)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Validation and Retirement Dossier Index](108_Final_Validation_and_Retirement_Dossier_Index.md)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QCL-2028-IRD-001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QCL-2028-IRD-001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 Readiness Dossier and Audit Response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