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Legacy LIMS Decommissioning Request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Approved/Closed in fictional retirement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Request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System: Legacy LIMS 6.2 Servers: LIMS-APP-01, LIMS-DB-01 (Oracle 12c), legacy interface services Requested retirement date: 2028-03-31 Requester: Legacy System Owner</w:t>
      </w:r>
    </w:p>
    <w:p>
      <w:pPr>
        <w:pStyle w:val="Heading1"/>
      </w:pPr>
      <w:r>
        <w:t>2. Business justification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QCLabOne 2.0 has operated in a validated state since 2027-06-15. Active records and processes have migrated; all legacy records are archived in ArchiveVault; retrieval evidence is accepted. Continuing Legacy LIMS increases unsupported software, security, licence and duplicate-system risk.</w:t>
      </w:r>
    </w:p>
    <w:p>
      <w:pPr>
        <w:pStyle w:val="Heading1"/>
      </w:pPr>
      <w:r>
        <w:t>3. Preconditions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171"/>
        <w:gridCol w:w="5189"/>
      </w:tblGrid>
      <w:tr>
        <w:trPr>
          <w:tblHeader w:val="true"/>
        </w:trPr>
        <w:tc>
          <w:tcPr>
            <w:tcW w:type="dxa" w:w="417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Precondition</w:t>
            </w:r>
          </w:p>
        </w:tc>
        <w:tc>
          <w:tcPr>
            <w:tcW w:type="dxa" w:w="518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Evidence/status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validated and stable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VSR, periodic review and operating records approved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Production migration accepted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073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 legacy archive transferred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097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 retrievability accepted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103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Retention/legal hold reviewed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102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open legacy-dependent business process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BPO confirmation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Interfaces and accounts identified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104 plan</w:t>
            </w:r>
          </w:p>
        </w:tc>
      </w:tr>
      <w:tr>
        <w:tc>
          <w:tcPr>
            <w:tcW w:type="dxa" w:w="41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Retirement risk/plan approved</w:t>
            </w:r>
          </w:p>
        </w:tc>
        <w:tc>
          <w:tcPr>
            <w:tcW w:type="dxa" w:w="51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Documents 100–101</w:t>
            </w:r>
          </w:p>
        </w:tc>
      </w:tr>
    </w:tbl>
    <w:p>
      <w:pPr>
        <w:spacing w:after="80"/>
      </w:pPr>
    </w:p>
    <w:p>
      <w:pPr>
        <w:pStyle w:val="Heading1"/>
      </w:pPr>
      <w:r>
        <w:t>4. Requested action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Approve controlled shutdown, access/interface removal, infrastructure release and licence termination after final backup/seal and post-shutdown verification. ArchiveVault becomes the official source for Legacy LIMS records.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QCL-2028-ARC-001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and Data Archive Record](097_System_and_Data_Archive_Record.md)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QCL-2028-IRD-001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[Inspection Readiness Dossier and Audit Response Record](098_Inspection_Readiness_Dossier_and_Audit_Response_Record.md)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Risk Assessment](100_Legacy_LIMS_Retirement_Risk_Assessment.md)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Plan](101_Legacy_LIMS_Retirement_Plan.md)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QCL-2028-LAR-001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Data Archiving and Retention Plan](102_Legacy_Data_Archiving_and_Retention_Plan.md)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QCL-2028-AIS-001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Access Revocation and Interface Shutdown Record](104_Legacy_Access_Revocation_and_Interface_Shutdown_Record.md)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QCL-2028-DCL-001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System Decommissioning Checklist](105_Legacy_System_Decommissioning_Checklist.md)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QCL-2028-RSR-001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LIMS Retirement Summary Report](106_Legacy_LIMS_Retirement_Summary_Report.md)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2"/>
        <w:gridCol w:w="2955"/>
        <w:gridCol w:w="3203"/>
      </w:tblGrid>
      <w:tr>
        <w:trPr>
          <w:tblHeader w:val="true"/>
        </w:trPr>
        <w:tc>
          <w:tcPr>
            <w:tcW w:type="dxa" w:w="3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95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Legacy System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Records Management Owner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9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Quality Head</w:t>
            </w:r>
          </w:p>
        </w:tc>
        <w:tc>
          <w:tcPr>
            <w:tcW w:type="dxa" w:w="3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2028-03-31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QCL-2028-DCR-001 | Version 1.0 | Approved/Closed in fictional retirement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QCL-2028-DCR-001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Legacy LIMS Decommissioning Request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