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Legacy LIMS Retirement Plan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QCL-2028-RTP-001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QCL-2028-RTP-001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Retire Legacy LIMS without loss of records, inspection access, business continuity or unintended impact on QCLabOne/enterprise systems.</w:t>
      </w:r>
    </w:p>
    <w:p>
      <w:pPr>
        <w:pStyle w:val="Heading1"/>
      </w:pPr>
      <w:r>
        <w:t>2. Retirement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625"/>
        <w:gridCol w:w="1581"/>
        <w:gridCol w:w="790"/>
        <w:gridCol w:w="2644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Step</w:t>
            </w:r>
          </w:p>
        </w:tc>
        <w:tc>
          <w:tcPr>
            <w:tcW w:type="dxa" w:w="362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Activity</w:t>
            </w:r>
          </w:p>
        </w:tc>
        <w:tc>
          <w:tcPr>
            <w:tcW w:type="dxa" w:w="158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7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Target</w:t>
            </w:r>
          </w:p>
        </w:tc>
        <w:tc>
          <w:tcPr>
            <w:tcW w:type="dxa" w:w="26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Case status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R1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Confirm archive/retrieval and retention approval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Records Management/QA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2028-03-20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R2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Notify users/support/enterprise owners and freeze changes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System Owner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2028-03-22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R3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Final read-only backup and checksum; seal recovery package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 Infrastructure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2028-03-28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R4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Disable user/vendor/service accounts except retirement team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IT/Security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2028-03-29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R5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Stop legacy SAP/CDS/instrument interfaces and firewall routes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 Integration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2028-03-30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R6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Execute final record/audit retrieval and open-item check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QC/QA/Records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2028-03-30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R7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Shutdown application/database and retain VM/storage offline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 Infrastructure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2028-03-31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R8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Post-shutdown QCLabOne/enterprise smoke tests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Owners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2028-03-31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R9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 inventory, CMDB, licences and support contracts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Owner/Procurement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2028-03-31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R10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 retirement summary/dossier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QA/System/Records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2028-03-31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R11</w:t>
            </w:r>
          </w:p>
        </w:tc>
        <w:tc>
          <w:tcPr>
            <w:tcW w:type="dxa" w:w="36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After 90 days, securely destroy sealed image if no issue</w:t>
            </w:r>
          </w:p>
        </w:tc>
        <w:tc>
          <w:tcPr>
            <w:tcW w:type="dxa" w:w="1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IT/Records/QA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2028-06-30</w:t>
            </w:r>
          </w:p>
        </w:tc>
        <w:tc>
          <w:tcPr>
            <w:tcW w:type="dxa" w:w="2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 outside immediate shutdown; tracked</w:t>
            </w:r>
          </w:p>
        </w:tc>
      </w:tr>
    </w:tbl>
    <w:p>
      <w:pPr>
        <w:spacing w:after="80"/>
      </w:pPr>
    </w:p>
    <w:p>
      <w:pPr>
        <w:pStyle w:val="Heading1"/>
      </w:pPr>
      <w:r>
        <w:t>3. Rollback/contingency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Until the 90-day hold ends, the final encrypted VM/database backup is retained offline with controlled access. If a material archive defect is discovered, the retirement team may restore the legacy environment in an isolated network for recovery only, under QA/Records approval. It will not resume routine processing.</w:t>
      </w:r>
    </w:p>
    <w:p>
      <w:pPr>
        <w:pStyle w:val="Heading1"/>
      </w:pPr>
      <w:r>
        <w:t>4. Communications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QC/QA users, IT service desk, ERP/CDS/eQMS owners, supplier, Records Management, Security, Finance/Procurement and inspection coordinators receive the approved schedule and official-record-source statement.</w:t>
      </w:r>
    </w:p>
    <w:p>
      <w:pPr>
        <w:pStyle w:val="Heading1"/>
      </w:pPr>
      <w:r>
        <w:t>5. Acceptance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preconditions complete; archive accepted; accounts/interfaces shut; server shutdown verified; no effect on QCLabOne/enterprise services; inventory/dossier updated; final report approved.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Decommissioning Request](099_Legacy_LIMS_Decommissioning_Request.md)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Risk Assessment](100_Legacy_LIMS_Retirement_Risk_Assessment.md)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Data Archiving and Retention Plan](102_Legacy_Data_Archiving_and_Retention_Plan.md)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QCL-2028-AIS-001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Access Revocation and Interface Shutdown Record](104_Legacy_Access_Revocation_and_Interface_Shutdown_Record.md)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System Decommissioning Checklist](105_Legacy_System_Decommissioning_Checklist.md)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CSI-SZ-001-CHG-2028-03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[Computerised System Inventory Update—Retired Status](107_Computerised_System_Inventory_Update_Retired_Status.md)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QCL-2028-RTP-001 | Version 1.0 | Approved/Closed in fictional retirement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QCL-2028-RTP-001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LIMS Retirement Plan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