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Legacy Data Archiving and Retention Plan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QCL-2028-LAR-001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Retirement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Approved/Closed in fictional retirement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QCL-2028-LAR-001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Retirement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Approved/Closed in fictional retirement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Define how Legacy LIMS records are retained, indexed, protected and disposed after retirement.</w:t>
      </w:r>
    </w:p>
    <w:p>
      <w:pPr>
        <w:pStyle w:val="Heading1"/>
      </w:pPr>
      <w:r>
        <w:t>2. Retention mapping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49"/>
        <w:gridCol w:w="3900"/>
        <w:gridCol w:w="2411"/>
      </w:tblGrid>
      <w:tr>
        <w:trPr>
          <w:tblHeader w:val="true"/>
        </w:trPr>
        <w:tc>
          <w:tcPr>
            <w:tcW w:type="dxa" w:w="304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Record class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Retention decision</w:t>
            </w:r>
          </w:p>
        </w:tc>
        <w:tc>
          <w:tcPr>
            <w:tcW w:type="dxa" w:w="241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Repository/form</w:t>
            </w:r>
          </w:p>
        </w:tc>
      </w:tr>
      <w:tr>
        <w:tc>
          <w:tcPr>
            <w:tcW w:type="dxa" w:w="3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sample/test/result records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Mapped by product/batch retention category; minimum per approved GMP schedule</w:t>
            </w:r>
          </w:p>
        </w:tc>
        <w:tc>
          <w:tcPr>
            <w:tcW w:type="dxa" w:w="2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ArchiveVault package</w:t>
            </w:r>
          </w:p>
        </w:tc>
      </w:tr>
      <w:tr>
        <w:tc>
          <w:tcPr>
            <w:tcW w:type="dxa" w:w="3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audit trails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Same as associated record</w:t>
            </w:r>
          </w:p>
        </w:tc>
        <w:tc>
          <w:tcPr>
            <w:tcW w:type="dxa" w:w="2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Included in package and searchable</w:t>
            </w:r>
          </w:p>
        </w:tc>
      </w:tr>
      <w:tr>
        <w:tc>
          <w:tcPr>
            <w:tcW w:type="dxa" w:w="3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Attachments/scanned worksheets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Same as associated record</w:t>
            </w:r>
          </w:p>
        </w:tc>
        <w:tc>
          <w:tcPr>
            <w:tcW w:type="dxa" w:w="2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Binary + checksum + metadata</w:t>
            </w:r>
          </w:p>
        </w:tc>
      </w:tr>
      <w:tr>
        <w:tc>
          <w:tcPr>
            <w:tcW w:type="dxa" w:w="3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User/role history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life + applicable investigation/record retention</w:t>
            </w:r>
          </w:p>
        </w:tc>
        <w:tc>
          <w:tcPr>
            <w:tcW w:type="dxa" w:w="2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Archive metadata/export</w:t>
            </w:r>
          </w:p>
        </w:tc>
      </w:tr>
      <w:tr>
        <w:tc>
          <w:tcPr>
            <w:tcW w:type="dxa" w:w="3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configuration/specification versions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life + related record retention</w:t>
            </w:r>
          </w:p>
        </w:tc>
        <w:tc>
          <w:tcPr>
            <w:tcW w:type="dxa" w:w="2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Configuration export/eDMS</w:t>
            </w:r>
          </w:p>
        </w:tc>
      </w:tr>
      <w:tr>
        <w:tc>
          <w:tcPr>
            <w:tcW w:type="dxa" w:w="3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 logs/reconciliation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 years minimum; longer if linked to record/investigation</w:t>
            </w:r>
          </w:p>
        </w:tc>
        <w:tc>
          <w:tcPr>
            <w:tcW w:type="dxa" w:w="2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Archive log package</w:t>
            </w:r>
          </w:p>
        </w:tc>
      </w:tr>
      <w:tr>
        <w:tc>
          <w:tcPr>
            <w:tcW w:type="dxa" w:w="3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Validation/operation/retirement evidence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Per validation record schedule; dossier index permanent</w:t>
            </w:r>
          </w:p>
        </w:tc>
        <w:tc>
          <w:tcPr>
            <w:tcW w:type="dxa" w:w="2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eDMS</w:t>
            </w:r>
          </w:p>
        </w:tc>
      </w:tr>
      <w:tr>
        <w:tc>
          <w:tcPr>
            <w:tcW w:type="dxa" w:w="3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Final sealed system image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90-day post-shutdown contingency, then secure destruction if approved</w:t>
            </w:r>
          </w:p>
        </w:tc>
        <w:tc>
          <w:tcPr>
            <w:tcW w:type="dxa" w:w="2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Offline encrypted vault</w:t>
            </w:r>
          </w:p>
        </w:tc>
      </w:tr>
    </w:tbl>
    <w:p>
      <w:pPr>
        <w:spacing w:after="80"/>
      </w:pPr>
    </w:p>
    <w:p>
      <w:pPr>
        <w:pStyle w:val="Heading1"/>
      </w:pPr>
      <w:r>
        <w:t>3. Archive format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Each legacy package contains human-readable PDF/A or viewer-independent rendering, structured XML/JSON metadata, original attachments, audit-trail export, user/signature metadata and SHA-256 manifest. Proprietary database dependence is not required for routine retrieval.</w:t>
      </w:r>
    </w:p>
    <w:p>
      <w:pPr>
        <w:pStyle w:val="Heading1"/>
      </w:pPr>
      <w:r>
        <w:t>4. Index and ownership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Search keys: Legacy Sample ID, QCLabOne migrated ID where applicable, batch, material/product, test, status, date range and archive package ID. Records Management owns archive administration; QC/QA owns content interpretation.</w:t>
      </w:r>
    </w:p>
    <w:p>
      <w:pPr>
        <w:pStyle w:val="Heading1"/>
      </w:pPr>
      <w:r>
        <w:t>5. Legal hold and disposition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Before any archive purge or final system-image destruction, Records Management checks legal/regulatory/investigation holds. Destruction requires a separately approved record and does not occur solely because the application is retired.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SOP-QA-ARC-001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Retention, Archiving and Record Retrieval SOP](070_Data_Retention_Archiving_and_Record_Retrieval_SOP.md)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and Data Archive Record](097_System_and_Data_Archive_Record.md)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Risk Assessment](100_Legacy_LIMS_Retirement_Risk_Assessment.md)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QCL-2028-AVR-001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Archive Verification and Retrievability Report](103_Legacy_Archive_Verification_and_Retrievability_Report.md)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QCL-2028-DCL-001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System Decommissioning Checklist](105_Legacy_System_Decommissioning_Checklist.md)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Summary Report](106_Legacy_LIMS_Retirement_Summary_Report.md)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QCL-2028-FDI-001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Validation and Retirement Dossier Index](108_Final_Validation_and_Retirement_Dossier_Index.md)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2"/>
        <w:gridCol w:w="2955"/>
        <w:gridCol w:w="3203"/>
      </w:tblGrid>
      <w:tr>
        <w:trPr>
          <w:tblHeader w:val="true"/>
        </w:trPr>
        <w:tc>
          <w:tcPr>
            <w:tcW w:type="dxa" w:w="320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0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System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Records Management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Quality Head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QCL-2028-LAR-001 | Version 1.0 | Approved/Closed in fictional retirement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QCL-2028-LAR-001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Legacy Data Archiving and Retention Plan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