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Legacy Access Revocation and Interface Shutdown Record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QCL-2028-AIS-001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QCL-2028-AIS-001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Record removal of Legacy LIMS access, service accounts, interfaces, scheduled jobs and network routes.</w:t>
      </w:r>
    </w:p>
    <w:p>
      <w:pPr>
        <w:pStyle w:val="Heading1"/>
      </w:pPr>
      <w:r>
        <w:t>2. Revocation/shutdown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31"/>
        <w:gridCol w:w="2984"/>
        <w:gridCol w:w="3730"/>
        <w:gridCol w:w="815"/>
      </w:tblGrid>
      <w:tr>
        <w:trPr>
          <w:tblHeader w:val="true"/>
        </w:trPr>
        <w:tc>
          <w:tcPr>
            <w:tcW w:type="dxa" w:w="183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Area</w:t>
            </w:r>
          </w:p>
        </w:tc>
        <w:tc>
          <w:tcPr>
            <w:tcW w:type="dxa" w:w="29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Population/service</w:t>
            </w:r>
          </w:p>
        </w:tc>
        <w:tc>
          <w:tcPr>
            <w:tcW w:type="dxa" w:w="373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Action/evidence</w:t>
            </w:r>
          </w:p>
        </w:tc>
        <w:tc>
          <w:tcPr>
            <w:tcW w:type="dxa" w:w="81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Human users</w:t>
            </w:r>
          </w:p>
        </w:tc>
        <w:tc>
          <w:tcPr>
            <w:tcW w:type="dxa" w:w="2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214 Legacy LIMS named accounts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Disabled 2028-03-29; final export retained</w:t>
            </w:r>
          </w:p>
        </w:tc>
        <w:tc>
          <w:tcPr>
            <w:tcW w:type="dxa" w:w="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Privileged accounts</w:t>
            </w:r>
          </w:p>
        </w:tc>
        <w:tc>
          <w:tcPr>
            <w:tcW w:type="dxa" w:w="2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 admin/database accounts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Disabled; credentials sealed for 90-day recovery team only</w:t>
            </w:r>
          </w:p>
        </w:tc>
        <w:tc>
          <w:tcPr>
            <w:tcW w:type="dxa" w:w="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accounts</w:t>
            </w:r>
          </w:p>
        </w:tc>
        <w:tc>
          <w:tcPr>
            <w:tcW w:type="dxa" w:w="2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Disabled and remote route removed</w:t>
            </w:r>
          </w:p>
        </w:tc>
        <w:tc>
          <w:tcPr>
            <w:tcW w:type="dxa" w:w="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Service accounts</w:t>
            </w:r>
          </w:p>
        </w:tc>
        <w:tc>
          <w:tcPr>
            <w:tcW w:type="dxa" w:w="2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 interface/scheduler accounts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Disabled after interface stop</w:t>
            </w:r>
          </w:p>
        </w:tc>
        <w:tc>
          <w:tcPr>
            <w:tcW w:type="dxa" w:w="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SAP legacy interfaces</w:t>
            </w:r>
          </w:p>
        </w:tc>
        <w:tc>
          <w:tcPr>
            <w:tcW w:type="dxa" w:w="2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Inbound/outbound legacy endpoints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Stopped; SAP routing removed; QCLabOne unaffected</w:t>
            </w:r>
          </w:p>
        </w:tc>
        <w:tc>
          <w:tcPr>
            <w:tcW w:type="dxa" w:w="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CDS/instrument legacy feeds</w:t>
            </w:r>
          </w:p>
        </w:tc>
        <w:tc>
          <w:tcPr>
            <w:tcW w:type="dxa" w:w="2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12 endpoints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Stopped after source-owner confirmation</w:t>
            </w:r>
          </w:p>
        </w:tc>
        <w:tc>
          <w:tcPr>
            <w:tcW w:type="dxa" w:w="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Email/report scheduler</w:t>
            </w:r>
          </w:p>
        </w:tc>
        <w:tc>
          <w:tcPr>
            <w:tcW w:type="dxa" w:w="2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scheduled reports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Disabled; recipients notified</w:t>
            </w:r>
          </w:p>
        </w:tc>
        <w:tc>
          <w:tcPr>
            <w:tcW w:type="dxa" w:w="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Firewall/DNS</w:t>
            </w:r>
          </w:p>
        </w:tc>
        <w:tc>
          <w:tcPr>
            <w:tcW w:type="dxa" w:w="2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app/database routes and names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Blocked/retired; archive URL remains</w:t>
            </w:r>
          </w:p>
        </w:tc>
        <w:tc>
          <w:tcPr>
            <w:tcW w:type="dxa" w:w="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Licences/support</w:t>
            </w:r>
          </w:p>
        </w:tc>
        <w:tc>
          <w:tcPr>
            <w:tcW w:type="dxa" w:w="2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application/Oracle support allocation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Termination initiated after shutdown</w:t>
            </w:r>
          </w:p>
        </w:tc>
        <w:tc>
          <w:tcPr>
            <w:tcW w:type="dxa" w:w="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</w:tbl>
    <w:p>
      <w:pPr>
        <w:spacing w:after="80"/>
      </w:pPr>
    </w:p>
    <w:p>
      <w:pPr>
        <w:pStyle w:val="Heading1"/>
      </w:pPr>
      <w:r>
        <w:t>3. Final activity review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Audit/security logs from 2028-03-22 to shutdown showed only authorised retirement-team access and automated archive checks. No data modification occurred; application/database remained read-only.</w:t>
      </w:r>
    </w:p>
    <w:p>
      <w:pPr>
        <w:pStyle w:val="Heading1"/>
      </w:pPr>
      <w:r>
        <w:t>4. Post-shutdown interface verification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QCLabOne SAP/eQMS/CDS/instrument interfaces passed smoke tests. No enterprise route continued to reference Legacy LIMS. Archive access remained available.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Retention, Archiving and Record Retrieval SOP](070_Data_Retention_Archiving_and_Record_Retrieval_SOP.md)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Plan](101_Legacy_LIMS_Retirement_Plan.md)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QCL-2028-AVR-001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Archive Verification and Retrievability Report](103_Legacy_Archive_Verification_and_Retrievability_Report.md)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QCL-2028-DCL-001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System Decommissioning Checklist](105_Legacy_System_Decommissioning_Checklist.md)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Summary Report](106_Legacy_LIMS_Retirement_Summary_Report.md)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CSI-SZ-001-CHG-2028-03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[Computerised System Inventory Update—Retired Status](107_Computerised_System_Inventory_Update_Retired_Status.md)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2"/>
        <w:gridCol w:w="2955"/>
        <w:gridCol w:w="3203"/>
      </w:tblGrid>
      <w:tr>
        <w:trPr>
          <w:tblHeader w:val="true"/>
        </w:trPr>
        <w:tc>
          <w:tcPr>
            <w:tcW w:type="dxa" w:w="32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System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Records Management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QCL-2028-AIS-001 | Version 1.0 | Approved/Closed in fictional retirement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QCL-2028-AIS-001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Access Revocation and Interface Shutdown Record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