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595959"/>
          <w:sz w:val="19"/>
        </w:rPr>
        <w:t>GMP CSV Controlled Document</w:t>
      </w:r>
    </w:p>
    <w:p>
      <w:pPr>
        <w:spacing w:after="80"/>
      </w:pPr>
      <w:r>
        <w:rPr>
          <w:rFonts w:ascii="Calibri" w:hAnsi="Calibri"/>
          <w:b/>
          <w:color w:val="0B2545"/>
          <w:sz w:val="44"/>
        </w:rPr>
        <w:t>Legacy LIMS Retirement Summary Report</w:t>
      </w:r>
    </w:p>
    <w:p>
      <w:pPr>
        <w:spacing w:after="200"/>
      </w:pPr>
      <w:r>
        <w:rPr>
          <w:rFonts w:ascii="Calibri" w:hAnsi="Calibri"/>
          <w:color w:val="595959"/>
          <w:sz w:val="23"/>
        </w:rPr>
        <w:t>QCLabOne 2.0 QC Laboratory Digital Platform Replacement Project</w:t>
      </w:r>
    </w:p>
    <w:tbl>
      <w:tblPr>
        <w:tblStyle w:val="TableGrid"/>
        <w:tblW w:type="dxa" w:w="9360"/>
        <w:tblLayout w:type="fixed"/>
        <w:tblLook w:firstColumn="1" w:firstRow="1" w:lastColumn="0" w:lastRow="0" w:noHBand="0" w:noVBand="1" w:val="04A0"/>
        <w:tblInd w:w="120" w:type="dxa"/>
      </w:tblPr>
      <w:tblGrid>
        <w:gridCol w:w="2700"/>
        <w:gridCol w:w="6660"/>
      </w:tblGrid>
      <w:tr>
        <w:trPr>
          <w:tblHeader w:val="true"/>
        </w:trPr>
        <w:tc>
          <w:tcPr>
            <w:tcW w:type="dxa" w:w="270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Control Field</w:t>
            </w:r>
          </w:p>
        </w:tc>
        <w:tc>
          <w:tcPr>
            <w:tcW w:type="dxa" w:w="6660"/>
            <w:shd w:fill="D9EAF7"/>
            <w:vAlign w:val="center"/>
            <w:tcMar>
              <w:top w:w="80" w:type="dxa"/>
              <w:bottom w:w="80" w:type="dxa"/>
              <w:start w:w="120" w:type="dxa"/>
              <w:end w:w="120" w:type="dxa"/>
            </w:tcMar>
          </w:tcPr>
          <w:p>
            <w:pPr>
              <w:spacing w:after="0" w:line="276" w:lineRule="auto"/>
            </w:pPr>
            <w:r/>
            <w:r>
              <w:rPr>
                <w:rFonts w:ascii="Calibri" w:hAnsi="Calibri"/>
                <w:b/>
                <w:color w:val="000000"/>
                <w:sz w:val="19"/>
              </w:rPr>
              <w:t>Value</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Document number</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QCL-2028-RSR-001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System</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QCLabOne 2.0 LIMS/LES</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Lifecycle phase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Retirement</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Version</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1.0</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Effective/record date</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2028-03-31</w:t>
            </w:r>
          </w:p>
        </w:tc>
      </w:tr>
      <w:tr>
        <w:tc>
          <w:tcPr>
            <w:tcW w:type="dxa" w:w="2700"/>
            <w:vAlign w:val="center"/>
            <w:tcMar>
              <w:top w:w="80" w:type="dxa"/>
              <w:bottom w:w="80" w:type="dxa"/>
              <w:start w:w="120" w:type="dxa"/>
              <w:end w:w="120" w:type="dxa"/>
            </w:tcMar>
          </w:tcPr>
          <w:p>
            <w:pPr>
              <w:spacing w:after="0" w:line="276" w:lineRule="auto"/>
            </w:pPr>
            <w:r/>
            <w:r>
              <w:rPr>
                <w:rFonts w:ascii="Calibri" w:hAnsi="Calibri"/>
                <w:b/>
                <w:color w:val="000000"/>
                <w:sz w:val="19"/>
              </w:rPr>
              <w:t>Status</w:t>
            </w:r>
          </w:p>
        </w:tc>
        <w:tc>
          <w:tcPr>
            <w:tcW w:type="dxa" w:w="6660"/>
            <w:vAlign w:val="center"/>
            <w:tcMar>
              <w:top w:w="80" w:type="dxa"/>
              <w:bottom w:w="80" w:type="dxa"/>
              <w:start w:w="120" w:type="dxa"/>
              <w:end w:w="120" w:type="dxa"/>
            </w:tcMar>
          </w:tcPr>
          <w:p>
            <w:pPr>
              <w:spacing w:after="0" w:line="276" w:lineRule="auto"/>
            </w:pPr>
            <w:r/>
            <w:r>
              <w:rPr>
                <w:rFonts w:ascii="Calibri" w:hAnsi="Calibri"/>
                <w:b w:val="0"/>
                <w:color w:val="000000"/>
                <w:sz w:val="19"/>
              </w:rPr>
              <w:t>Approved/Closed in fictional retirement record</w:t>
            </w:r>
          </w:p>
        </w:tc>
      </w:tr>
    </w:tbl>
    <w:p>
      <w:pPr>
        <w:spacing w:after="80"/>
      </w:pPr>
    </w:p>
    <w:tbl>
      <w:tblPr>
        <w:tblStyle w:val="TableGrid"/>
        <w:tblW w:type="dxa" w:w="9360"/>
        <w:tblLayout w:type="fixed"/>
        <w:tblLook w:firstColumn="1" w:firstRow="1" w:lastColumn="0" w:lastRow="0" w:noHBand="0" w:noVBand="1" w:val="04A0"/>
        <w:tblInd w:w="120" w:type="dxa"/>
      </w:tblPr>
      <w:tblGrid>
        <w:gridCol w:w="9360"/>
      </w:tblGrid>
      <w:tr>
        <w:tc>
          <w:tcPr>
            <w:tcW w:type="dxa" w:w="9360"/>
            <w:shd w:fill="F7F9FC"/>
            <w:vAlign w:val="center"/>
            <w:tcMar>
              <w:top w:w="80" w:type="dxa"/>
              <w:bottom w:w="80" w:type="dxa"/>
              <w:start w:w="120" w:type="dxa"/>
              <w:end w:w="120" w:type="dxa"/>
            </w:tcMar>
          </w:tcPr>
          <w:p>
            <w:pPr>
              <w:spacing w:after="0" w:line="276" w:lineRule="auto"/>
            </w:pPr>
            <w:r/>
            <w:r>
              <w:rPr>
                <w:rFonts w:ascii="Calibri" w:hAnsi="Calibri"/>
                <w:b w:val="0"/>
                <w:color w:val="595959"/>
                <w:sz w:val="19"/>
              </w:rPr>
              <w:t>Use notice: This Markdown file is a fully populated fictional CSV training case. It is not an executed GMP record and does not replace company procedures, approved signatures, supplier evidence, or site-specific risk decisions.</w:t>
            </w:r>
          </w:p>
        </w:tc>
      </w:tr>
    </w:tbl>
    <w:p>
      <w:pPr>
        <w:spacing w:after="80"/>
      </w:pPr>
    </w:p>
    <w:p>
      <w:pPr>
        <w:pStyle w:val="Heading1"/>
      </w:pPr>
      <w:r>
        <w:t>Document control</w:t>
      </w:r>
    </w:p>
    <w:tbl>
      <w:tblPr>
        <w:tblStyle w:val="TableGrid"/>
        <w:tblW w:type="dxa" w:w="9360"/>
        <w:tblLayout w:type="fixed"/>
        <w:tblLook w:firstColumn="1" w:firstRow="1" w:lastColumn="0" w:lastRow="0" w:noHBand="0" w:noVBand="1" w:val="04A0"/>
        <w:tblInd w:w="120" w:type="dxa"/>
      </w:tblPr>
      <w:tblGrid>
        <w:gridCol w:w="2586"/>
        <w:gridCol w:w="6774"/>
      </w:tblGrid>
      <w:tr>
        <w:trPr>
          <w:tblHeader w:val="true"/>
        </w:trPr>
        <w:tc>
          <w:tcPr>
            <w:tcW w:type="dxa" w:w="258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Field</w:t>
            </w:r>
          </w:p>
        </w:tc>
        <w:tc>
          <w:tcPr>
            <w:tcW w:type="dxa" w:w="677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Value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Document number</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QCL-2028-RSR-001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Company</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NovaSterile Pharma Co., Ltd.</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Suzhou Sterile Products Manufacturing Site</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Project</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QC Laboratory Digital Platform Replacement Project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System</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2.0 LIMS/LES</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Lifecycle phase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Retirement</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Version</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1.0</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Effective/record date</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2028-03-31</w:t>
            </w:r>
          </w:p>
        </w:tc>
      </w:tr>
      <w:tr>
        <w:tc>
          <w:tcPr>
            <w:tcW w:type="dxa" w:w="258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Case status</w:t>
            </w:r>
          </w:p>
        </w:tc>
        <w:tc>
          <w:tcPr>
            <w:tcW w:type="dxa" w:w="677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Approved/Closed in fictional retirement record</w:t>
            </w:r>
          </w:p>
        </w:tc>
      </w:tr>
    </w:tbl>
    <w:p>
      <w:pPr>
        <w:spacing w:after="80"/>
      </w:pPr>
    </w:p>
    <w:p>
      <w:pPr>
        <w:pStyle w:val="Heading1"/>
      </w:pPr>
      <w:r>
        <w:t>Governing references</w:t>
      </w:r>
    </w:p>
    <w:p>
      <w:pPr>
        <w:pStyle w:val="ListBullet"/>
        <w:spacing w:after="80" w:line="300" w:lineRule="auto"/>
      </w:pPr>
      <w:r>
        <w:rPr>
          <w:rFonts w:ascii="Calibri" w:hAnsi="Calibri"/>
          <w:color w:val="000000"/>
          <w:sz w:val="22"/>
        </w:rPr>
        <w:t>China GMP (2010 Revision), Appendix: Computerised Systems (effective 1 December 2015)</w:t>
      </w:r>
    </w:p>
    <w:p>
      <w:pPr>
        <w:pStyle w:val="ListBullet"/>
        <w:spacing w:after="80" w:line="300" w:lineRule="auto"/>
      </w:pPr>
      <w:r>
        <w:rPr>
          <w:rFonts w:ascii="Calibri" w:hAnsi="Calibri"/>
          <w:color w:val="000000"/>
          <w:sz w:val="22"/>
        </w:rPr>
        <w:t>China GMP (2010 Revision), Appendix: Qualification and Validation (effective 1 December 2015)</w:t>
      </w:r>
    </w:p>
    <w:p>
      <w:pPr>
        <w:pStyle w:val="ListBullet"/>
        <w:spacing w:after="80" w:line="300" w:lineRule="auto"/>
      </w:pPr>
      <w:r>
        <w:rPr>
          <w:rFonts w:ascii="Calibri" w:hAnsi="Calibri"/>
          <w:color w:val="000000"/>
          <w:sz w:val="22"/>
        </w:rPr>
        <w:t>EU GMP Annex 11: Computerised Systems (2011)</w:t>
      </w:r>
    </w:p>
    <w:p>
      <w:pPr>
        <w:pStyle w:val="ListBullet"/>
        <w:spacing w:after="80" w:line="300" w:lineRule="auto"/>
      </w:pPr>
      <w:r>
        <w:rPr>
          <w:rFonts w:ascii="Calibri" w:hAnsi="Calibri"/>
          <w:color w:val="000000"/>
          <w:sz w:val="22"/>
        </w:rPr>
        <w:t>EU GMP Annex 15: Qualification and Validation (2015)</w:t>
      </w:r>
    </w:p>
    <w:p>
      <w:pPr>
        <w:pStyle w:val="ListBullet"/>
        <w:spacing w:after="80" w:line="300" w:lineRule="auto"/>
      </w:pPr>
      <w:r>
        <w:rPr>
          <w:rFonts w:ascii="Calibri" w:hAnsi="Calibri"/>
          <w:color w:val="000000"/>
          <w:sz w:val="22"/>
        </w:rPr>
        <w:t>21 CFR Part 11: Electronic Records; Electronic Signatures</w:t>
      </w:r>
    </w:p>
    <w:p>
      <w:pPr>
        <w:pStyle w:val="ListBullet"/>
        <w:spacing w:after="80" w:line="300" w:lineRule="auto"/>
      </w:pPr>
      <w:r>
        <w:rPr>
          <w:rFonts w:ascii="Calibri" w:hAnsi="Calibri"/>
          <w:color w:val="000000"/>
          <w:sz w:val="22"/>
        </w:rPr>
        <w:t>FDA Guidance: Part 11, Electronic Records; Electronic Signatures — Scope and Application</w:t>
      </w:r>
    </w:p>
    <w:p>
      <w:pPr>
        <w:pStyle w:val="ListBullet"/>
        <w:spacing w:after="80" w:line="300" w:lineRule="auto"/>
      </w:pPr>
      <w:r>
        <w:rPr>
          <w:rFonts w:ascii="Calibri" w:hAnsi="Calibri"/>
          <w:color w:val="000000"/>
          <w:sz w:val="22"/>
        </w:rPr>
        <w:t>PIC/S PI 041-1: Good Practices for Data Management and Integrity in Regulated GMP/GDP Environments (2021)</w:t>
      </w:r>
    </w:p>
    <w:p>
      <w:pPr>
        <w:pStyle w:val="ListBullet"/>
        <w:spacing w:after="80" w:line="300" w:lineRule="auto"/>
      </w:pPr>
      <w:r>
        <w:rPr>
          <w:rFonts w:ascii="Calibri" w:hAnsi="Calibri"/>
          <w:color w:val="000000"/>
          <w:sz w:val="22"/>
        </w:rPr>
        <w:t>ISPE GAMP 5, Second Edition (2022), used as non-binding industry guidance</w:t>
      </w:r>
    </w:p>
    <w:p>
      <w:pPr>
        <w:pStyle w:val="Heading1"/>
      </w:pPr>
      <w:r>
        <w:t>1. Executive summary</w:t>
      </w:r>
    </w:p>
    <w:p>
      <w:pPr>
        <w:spacing w:after="120" w:line="300" w:lineRule="auto"/>
      </w:pPr>
      <w:r>
        <w:rPr>
          <w:rFonts w:ascii="Calibri" w:hAnsi="Calibri"/>
          <w:b w:val="0"/>
          <w:i w:val="0"/>
          <w:color w:val="000000"/>
          <w:sz w:val="22"/>
        </w:rPr>
        <w:t>Legacy LIMS 6.2 was retired on 2028-03-31 after successful QCLabOne operation, complete archive transfer, approved retrievability evidence and controlled shutdown.</w:t>
      </w:r>
    </w:p>
    <w:p>
      <w:pPr>
        <w:pStyle w:val="Heading1"/>
      </w:pPr>
      <w:r>
        <w:t>2. Completion summary</w:t>
      </w:r>
    </w:p>
    <w:tbl>
      <w:tblPr>
        <w:tblStyle w:val="TableGrid"/>
        <w:tblW w:type="dxa" w:w="9360"/>
        <w:tblLayout w:type="fixed"/>
        <w:tblLook w:firstColumn="1" w:firstRow="1" w:lastColumn="0" w:lastRow="0" w:noHBand="0" w:noVBand="1" w:val="04A0"/>
        <w:tblInd w:w="120" w:type="dxa"/>
      </w:tblPr>
      <w:tblGrid>
        <w:gridCol w:w="3004"/>
        <w:gridCol w:w="6356"/>
      </w:tblGrid>
      <w:tr>
        <w:trPr>
          <w:tblHeader w:val="true"/>
        </w:trPr>
        <w:tc>
          <w:tcPr>
            <w:tcW w:type="dxa" w:w="300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Area</w:t>
            </w:r>
          </w:p>
        </w:tc>
        <w:tc>
          <w:tcPr>
            <w:tcW w:type="dxa" w:w="6356"/>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Final conclusion</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Business replacement</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 has supported approved QC processes since 2027-06-15</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Migration</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Active required records migrated and production reconciliation accepted</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Archive</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112,604 packages, 1,482,610 audit events and 24,806 attachments accepted</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Retrievability</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600-record stratified sample and supporting attachment/audit checks pass</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Retention</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 classes mapped; legal-hold control retained</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Access/interfaces</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All legacy accounts/routes/jobs disabled; no unauthorised activity</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Decommissioning</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Application/database stopped; infrastructure retired in CMDB</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Post-shutdown verification</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QCLabOne/enterprise interfaces and archive access pass</w:t>
            </w:r>
          </w:p>
        </w:tc>
      </w:tr>
      <w:tr>
        <w:tc>
          <w:tcPr>
            <w:tcW w:type="dxa" w:w="300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Open risk</w:t>
            </w:r>
          </w:p>
        </w:tc>
        <w:tc>
          <w:tcPr>
            <w:tcW w:type="dxa" w:w="6356"/>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No unacceptable retirement risk; 90-day sealed-image action tracked</w:t>
            </w:r>
          </w:p>
        </w:tc>
      </w:tr>
    </w:tbl>
    <w:p>
      <w:pPr>
        <w:spacing w:after="80"/>
      </w:pPr>
    </w:p>
    <w:p>
      <w:pPr>
        <w:pStyle w:val="Heading1"/>
      </w:pPr>
      <w:r>
        <w:t>3. Official record statement</w:t>
      </w:r>
    </w:p>
    <w:p>
      <w:pPr>
        <w:spacing w:after="120" w:line="300" w:lineRule="auto"/>
      </w:pPr>
      <w:r>
        <w:rPr>
          <w:rFonts w:ascii="Calibri" w:hAnsi="Calibri"/>
          <w:b w:val="0"/>
          <w:i w:val="0"/>
          <w:color w:val="000000"/>
          <w:sz w:val="22"/>
        </w:rPr>
        <w:t>From 2028-03-31, ArchiveVault is the official source for Legacy LIMS records. QCLabOne is the official source for records created in QCLabOne and for migrated active records according to the migration mapping. The sealed legacy system image is contingency-only and not for routine use.</w:t>
      </w:r>
    </w:p>
    <w:p>
      <w:pPr>
        <w:pStyle w:val="Heading1"/>
      </w:pPr>
      <w:r>
        <w:t>4. Retirement decision</w:t>
      </w:r>
    </w:p>
    <w:p>
      <w:pPr>
        <w:spacing w:after="120" w:line="300" w:lineRule="auto"/>
      </w:pPr>
      <w:r>
        <w:rPr>
          <w:rFonts w:ascii="Calibri" w:hAnsi="Calibri"/>
          <w:b w:val="0"/>
          <w:i w:val="0"/>
          <w:color w:val="000000"/>
          <w:sz w:val="22"/>
        </w:rPr>
        <w:t>Retirement is complete and approved. The system shall not be returned to routine service. Any recovery from the sealed image requires QA/Records approval and a documented incident/change.</w:t>
      </w:r>
    </w:p>
    <w:p>
      <w:pPr>
        <w:pStyle w:val="Heading1"/>
      </w:pPr>
      <w:r>
        <w:t>5. Related documents</w:t>
      </w:r>
    </w:p>
    <w:tbl>
      <w:tblPr>
        <w:tblStyle w:val="TableGrid"/>
        <w:tblW w:type="dxa" w:w="9360"/>
        <w:tblLayout w:type="fixed"/>
        <w:tblLook w:firstColumn="1" w:firstRow="1" w:lastColumn="0" w:lastRow="0" w:noHBand="0" w:noVBand="1" w:val="04A0"/>
        <w:tblInd w:w="120" w:type="dxa"/>
      </w:tblPr>
      <w:tblGrid>
        <w:gridCol w:w="2224"/>
        <w:gridCol w:w="2038"/>
        <w:gridCol w:w="5098"/>
      </w:tblGrid>
      <w:tr>
        <w:trPr>
          <w:tblHeader w:val="true"/>
        </w:trPr>
        <w:tc>
          <w:tcPr>
            <w:tcW w:type="dxa" w:w="2224"/>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Relationship</w:t>
            </w:r>
          </w:p>
        </w:tc>
        <w:tc>
          <w:tcPr>
            <w:tcW w:type="dxa" w:w="203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 ID</w:t>
            </w:r>
          </w:p>
        </w:tc>
        <w:tc>
          <w:tcPr>
            <w:tcW w:type="dxa" w:w="5098"/>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Document</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QCL-2028-PRR-001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[Annual Periodic Review Report](092_Annual_Periodic_Review_Report.md)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QCL-2028-DCR-001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Decommissioning Request](099_Legacy_LIMS_Decommissioning_Request.md)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QCL-2028-RRA-001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Retirement Risk Assessment](100_Legacy_LIMS_Retirement_Risk_Assessment.md)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QCL-2028-RTP-001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LIMS Retirement Plan](101_Legacy_LIMS_Retirement_Plan.md)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QCL-2028-LAR-001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Data Archiving and Retention Plan](102_Legacy_Data_Archiving_and_Retention_Plan.md)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QCL-2028-AVR-001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Archive Verification and Retrievability Report](103_Legacy_Archive_Verification_and_Retrievability_Report.md)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QCL-2028-AIS-001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Access Revocation and Interface Shutdown Record](104_Legacy_Access_Revocation_and_Interface_Shutdown_Record.md)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QCL-2028-DCL-001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System Decommissioning Checklist](105_Legacy_System_Decommissioning_Checklist.md)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CSI-SZ-001-CHG-2028-03</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[Computerised System Inventory Update—Retired Status](107_Computerised_System_Inventory_Update_Retired_Status.md)</w:t>
            </w:r>
          </w:p>
        </w:tc>
      </w:tr>
      <w:tr>
        <w:tc>
          <w:tcPr>
            <w:tcW w:type="dxa" w:w="2224"/>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Output</w:t>
            </w:r>
          </w:p>
        </w:tc>
        <w:tc>
          <w:tcPr>
            <w:tcW w:type="dxa" w:w="203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QCL-2028-FDI-001</w:t>
            </w:r>
          </w:p>
        </w:tc>
        <w:tc>
          <w:tcPr>
            <w:tcW w:type="dxa" w:w="5098"/>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[Final Validation and Retirement Dossier Index](108_Final_Validation_and_Retirement_Dossier_Index.md)</w:t>
            </w:r>
          </w:p>
        </w:tc>
      </w:tr>
    </w:tbl>
    <w:p>
      <w:pPr>
        <w:spacing w:after="80"/>
      </w:pPr>
    </w:p>
    <w:p>
      <w:pPr>
        <w:pStyle w:val="Heading1"/>
      </w:pPr>
      <w:r>
        <w:t>Approval record</w:t>
      </w:r>
    </w:p>
    <w:tbl>
      <w:tblPr>
        <w:tblStyle w:val="TableGrid"/>
        <w:tblW w:type="dxa" w:w="9360"/>
        <w:tblLayout w:type="fixed"/>
        <w:tblLook w:firstColumn="1" w:firstRow="1" w:lastColumn="0" w:lastRow="0" w:noHBand="0" w:noVBand="1" w:val="04A0"/>
        <w:tblInd w:w="120" w:type="dxa"/>
      </w:tblPr>
      <w:tblGrid>
        <w:gridCol w:w="3202"/>
        <w:gridCol w:w="2955"/>
        <w:gridCol w:w="3203"/>
      </w:tblGrid>
      <w:tr>
        <w:trPr>
          <w:tblHeader w:val="true"/>
        </w:trPr>
        <w:tc>
          <w:tcPr>
            <w:tcW w:type="dxa" w:w="3202"/>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Approval step</w:t>
            </w:r>
          </w:p>
        </w:tc>
        <w:tc>
          <w:tcPr>
            <w:tcW w:type="dxa" w:w="2955"/>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Role</w:t>
            </w:r>
          </w:p>
        </w:tc>
        <w:tc>
          <w:tcPr>
            <w:tcW w:type="dxa" w:w="3203"/>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Case outcome</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Prepared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Legacy System Owner</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Reviewed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Records Management Owner</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Completed</w:t>
            </w:r>
          </w:p>
        </w:tc>
      </w:tr>
      <w:tr>
        <w:tc>
          <w:tcPr>
            <w:tcW w:type="dxa" w:w="3202"/>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by</w:t>
            </w:r>
          </w:p>
        </w:tc>
        <w:tc>
          <w:tcPr>
            <w:tcW w:type="dxa" w:w="2955"/>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Site Quality Head</w:t>
            </w:r>
          </w:p>
        </w:tc>
        <w:tc>
          <w:tcPr>
            <w:tcW w:type="dxa" w:w="3203"/>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Approved in fictional case</w:t>
            </w:r>
          </w:p>
        </w:tc>
      </w:tr>
    </w:tbl>
    <w:p>
      <w:pPr>
        <w:spacing w:after="80"/>
      </w:pPr>
    </w:p>
    <w:p>
      <w:pPr>
        <w:pStyle w:val="Heading1"/>
      </w:pPr>
      <w:r>
        <w:t>Revision history</w:t>
      </w:r>
    </w:p>
    <w:tbl>
      <w:tblPr>
        <w:tblStyle w:val="TableGrid"/>
        <w:tblW w:type="dxa" w:w="9360"/>
        <w:tblLayout w:type="fixed"/>
        <w:tblLook w:firstColumn="1" w:firstRow="1" w:lastColumn="0" w:lastRow="0" w:noHBand="0" w:noVBand="1" w:val="04A0"/>
        <w:tblInd w:w="120" w:type="dxa"/>
      </w:tblPr>
      <w:tblGrid>
        <w:gridCol w:w="2047"/>
        <w:gridCol w:w="1462"/>
        <w:gridCol w:w="5851"/>
      </w:tblGrid>
      <w:tr>
        <w:trPr>
          <w:tblHeader w:val="true"/>
        </w:trPr>
        <w:tc>
          <w:tcPr>
            <w:tcW w:type="dxa" w:w="2047"/>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Version</w:t>
            </w:r>
          </w:p>
        </w:tc>
        <w:tc>
          <w:tcPr>
            <w:tcW w:type="dxa" w:w="1462"/>
            <w:shd w:fill="E8EEF5"/>
            <w:vAlign w:val="center"/>
            <w:tcMar>
              <w:top w:w="80" w:type="dxa"/>
              <w:bottom w:w="80" w:type="dxa"/>
              <w:start w:w="120" w:type="dxa"/>
              <w:end w:w="120" w:type="dxa"/>
            </w:tcMar>
          </w:tcPr>
          <w:p>
            <w:pPr>
              <w:spacing w:after="0" w:line="276" w:lineRule="auto"/>
              <w:jc w:val="center"/>
            </w:pPr>
            <w:r/>
            <w:r>
              <w:rPr>
                <w:rFonts w:ascii="Calibri" w:hAnsi="Calibri"/>
                <w:b/>
                <w:color w:val="000000"/>
                <w:sz w:val="19"/>
              </w:rPr>
              <w:t>Date</w:t>
            </w:r>
          </w:p>
        </w:tc>
        <w:tc>
          <w:tcPr>
            <w:tcW w:type="dxa" w:w="5851"/>
            <w:shd w:fill="E8EEF5"/>
            <w:vAlign w:val="center"/>
            <w:tcMar>
              <w:top w:w="80" w:type="dxa"/>
              <w:bottom w:w="80" w:type="dxa"/>
              <w:start w:w="120" w:type="dxa"/>
              <w:end w:w="120" w:type="dxa"/>
            </w:tcMar>
          </w:tcPr>
          <w:p>
            <w:pPr>
              <w:spacing w:after="0" w:line="276" w:lineRule="auto"/>
              <w:jc w:val="left"/>
            </w:pPr>
            <w:r/>
            <w:r>
              <w:rPr>
                <w:rFonts w:ascii="Calibri" w:hAnsi="Calibri"/>
                <w:b/>
                <w:color w:val="000000"/>
                <w:sz w:val="19"/>
              </w:rPr>
              <w:t>Change</w:t>
            </w:r>
          </w:p>
        </w:tc>
      </w:tr>
      <w:tr>
        <w:tc>
          <w:tcPr>
            <w:tcW w:type="dxa" w:w="2047"/>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1.0</w:t>
            </w:r>
          </w:p>
        </w:tc>
        <w:tc>
          <w:tcPr>
            <w:tcW w:type="dxa" w:w="1462"/>
            <w:vAlign w:val="center"/>
            <w:tcMar>
              <w:top w:w="80" w:type="dxa"/>
              <w:bottom w:w="80" w:type="dxa"/>
              <w:start w:w="120" w:type="dxa"/>
              <w:end w:w="120" w:type="dxa"/>
            </w:tcMar>
          </w:tcPr>
          <w:p>
            <w:pPr>
              <w:spacing w:after="0" w:line="276" w:lineRule="auto"/>
              <w:jc w:val="center"/>
            </w:pPr>
            <w:r/>
            <w:r>
              <w:rPr>
                <w:rFonts w:ascii="Calibri" w:hAnsi="Calibri"/>
                <w:b w:val="0"/>
                <w:color w:val="000000"/>
                <w:sz w:val="19"/>
              </w:rPr>
              <w:t>2028-03-31</w:t>
            </w:r>
          </w:p>
        </w:tc>
        <w:tc>
          <w:tcPr>
            <w:tcW w:type="dxa" w:w="5851"/>
            <w:vAlign w:val="center"/>
            <w:tcMar>
              <w:top w:w="80" w:type="dxa"/>
              <w:bottom w:w="80" w:type="dxa"/>
              <w:start w:w="120" w:type="dxa"/>
              <w:end w:w="120" w:type="dxa"/>
            </w:tcMar>
          </w:tcPr>
          <w:p>
            <w:pPr>
              <w:spacing w:after="0" w:line="276" w:lineRule="auto"/>
              <w:jc w:val="left"/>
            </w:pPr>
            <w:r/>
            <w:r>
              <w:rPr>
                <w:rFonts w:ascii="Calibri" w:hAnsi="Calibri"/>
                <w:b w:val="0"/>
                <w:color w:val="000000"/>
                <w:sz w:val="19"/>
              </w:rPr>
              <w:t>Initial approved fictional case version.</w:t>
            </w:r>
          </w:p>
        </w:tc>
      </w:tr>
    </w:tbl>
    <w:p>
      <w:pPr>
        <w:spacing w:after="8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7"/>
      </w:rPr>
      <w:t xml:space="preserve">QCL-2028-RSR-001 | Version 1.0 | Approved/Closed in fictional retirement record | Page </w:t>
    </w:r>
    <w:r>
      <w:fldChar w:fldCharType="begin"/>
    </w:r>
    <w:r>
      <w:instrText xml:space="preserve"> PAGE </w:instrText>
    </w:r>
    <w:r>
      <w:fldChar w:fldCharType="separate"/>
    </w:r>
    <w:r>
      <w:rPr>
        <w:rFonts w:ascii="Calibri" w:hAnsi="Calibri"/>
        <w:color w:val="595959"/>
        <w:sz w:val="18"/>
      </w:rPr>
      <w:t>1</w:t>
    </w:r>
    <w:r>
      <w:fldChar w:fldCharType="end"/>
    </w:r>
    <w:r>
      <w:rPr>
        <w:rFonts w:ascii="Calibri" w:hAnsi="Calibri"/>
        <w:color w:val="595959"/>
        <w:sz w:val="17"/>
      </w:rPr>
      <w:t xml:space="preserve"> of </w:t>
    </w:r>
    <w:r>
      <w:fldChar w:fldCharType="begin"/>
    </w:r>
    <w:r>
      <w:instrText xml:space="preserve"> NUMPAGES </w:instrText>
    </w:r>
    <w:r>
      <w:fldChar w:fldCharType="separate"/>
    </w:r>
    <w:r>
      <w:rPr>
        <w:rFonts w:ascii="Calibri" w:hAnsi="Calibri"/>
        <w:color w:val="595959"/>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Calibri" w:hAnsi="Calibri"/>
        <w:b/>
        <w:color w:val="595959"/>
        <w:sz w:val="17"/>
      </w:rPr>
      <w:t>QCL-2026 | QCLabOne 2.0 LIMS/LES</w:t>
    </w:r>
    <w:r>
      <w:tab/>
    </w:r>
    <w:r>
      <w:rPr>
        <w:rFonts w:ascii="Calibri" w:hAnsi="Calibri"/>
        <w:color w:val="595959"/>
        <w:sz w:val="17"/>
      </w:rPr>
      <w:t>QCL-2028-RSR-001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Legacy LIMS Retirement Summary Report</dc:title>
  <dc:subject>GMP CSV controlled-document conversion</dc:subject>
  <dc:creator>CSV108 Markdown DOCX Converter</dc:creator>
  <cp:keywords>CSV, GMP, validation, DOCX, controlled document</cp:keywords>
  <dc:description>Converted from CSV108 Markdown source. Requires site-specific QA review before operational use.</dc:description>
  <cp:lastModifiedBy>CSV108 Markdown DOCX Converter</cp:lastModifiedBy>
  <cp:revision>1</cp:revision>
  <dcterms:created xsi:type="dcterms:W3CDTF">2026-06-19T09:00:00Z</dcterms:created>
  <dcterms:modified xsi:type="dcterms:W3CDTF">2026-06-19T09:00:00Z</dcterms:modified>
  <cp:category>GMP CSV</cp:category>
</cp:coreProperties>
</file>