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60" w:line="288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46"/>
        </w:rPr>
        <w:t>社区超市30天商品提效包</w:t>
      </w:r>
    </w:p>
    <w:p>
      <w:pPr>
        <w:spacing w:before="0" w:after="40" w:line="288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8"/>
        </w:rPr>
        <w:t>全球顶级咨询标准版：商品价格带分析模板 · 子品类结构诊断模板 · 陈列面配置模板</w:t>
      </w:r>
    </w:p>
    <w:p>
      <w:pPr>
        <w:spacing w:before="160" w:after="240" w:line="288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06060"/>
          <w:sz w:val="22"/>
        </w:rPr>
        <w:t>面向社区超市 / 生活超市的高标准咨询交付模板包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vAlign w:val="center"/>
            <w:shd w:fill="F5F8FC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1B3F6B"/>
                <w:sz w:val="20"/>
              </w:rPr>
              <w:t>本套模板聚焦三件直接影响商品力结果的关键工作：价格带结构判断、子品类结构诊断、陈列面配置决策。</w:t>
            </w:r>
          </w:p>
          <w:p>
            <w:pPr>
              <w:spacing w:before="0" w:after="2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2626"/>
                <w:sz w:val="19"/>
              </w:rPr>
              <w:t>• 按照顶级咨询项目的表达逻辑组织：管理摘要 - 分析框架 - 数据口径 - 关键判断 - 动作建议 - 落地责任。</w:t>
            </w:r>
          </w:p>
          <w:p>
            <w:pPr>
              <w:spacing w:before="0" w:after="2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2626"/>
                <w:sz w:val="19"/>
              </w:rPr>
              <w:t>• 强调“老板看得懂、店长能执行、顾问能复盘”，避免空洞理论或只有表格没有决策闭环。</w:t>
            </w:r>
          </w:p>
          <w:p>
            <w:pPr>
              <w:spacing w:before="0" w:after="2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2626"/>
                <w:sz w:val="19"/>
              </w:rPr>
              <w:t>• 适合饮料、休食、散称干货、冷藏即饮等高频高周转板块的首轮提效项目。</w:t>
            </w:r>
          </w:p>
        </w:tc>
      </w:tr>
    </w:tbl>
    <w:p>
      <w:pPr>
        <w:spacing w:before="280" w:after="0" w:line="288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06060"/>
          <w:sz w:val="18"/>
        </w:rPr>
        <w:t>版本：V2.0 | 风格：结构化、结论先行、强问题导向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vAlign w:val="center"/>
            <w:shd w:fill="1B3F6B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4"/>
              </w:rPr>
              <w:t>模板包总览</w:t>
            </w:r>
          </w:p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F0F4F8"/>
                <w:sz w:val="17"/>
              </w:rPr>
              <w:t>用三套核心模板，把“结构判断 - 经营动作 - 陈列资源配置”串成一个可执行闭环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模板一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商品价格带分析模板：判断价格带是否完整、过密、断层或错位。</w:t>
            </w:r>
          </w:p>
        </w:tc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经营用途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用于识别引流带、走量带、利润带是否匹配客群与竞争。</w:t>
            </w:r>
          </w:p>
        </w:tc>
      </w:tr>
      <w:tr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模板二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子品类结构诊断模板：判断子品类内部的品牌、规格、价格、角色、动销是否健康。</w:t>
            </w:r>
          </w:p>
        </w:tc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经营用途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用于锁定“该砍、该补、该扩、该换”的核心结构动作。</w:t>
            </w:r>
          </w:p>
        </w:tc>
      </w:tr>
      <w:tr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模板三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陈列面配置模板：判断有限面位如何分配给高价值商品、重点价格带与重点角色。</w:t>
            </w:r>
          </w:p>
        </w:tc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经营用途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用于把关键陈列资源从经验分配升级到“按结果分配”。</w:t>
            </w:r>
          </w:p>
        </w:tc>
      </w:tr>
      <w:tr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交付原则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所有模板均以“结论先行 + 字段清晰 + 指标可追 + 责任明确”为标准。</w:t>
            </w:r>
          </w:p>
        </w:tc>
        <w:tc>
          <w:tcPr>
            <w:tcW w:type="dxa" w:w="1701"/>
            <w:vAlign w:val="center"/>
            <w:shd w:fill="ECF2F9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9"/>
              </w:rPr>
              <w:t>使用方式</w:t>
            </w:r>
          </w:p>
        </w:tc>
        <w:tc>
          <w:tcPr>
            <w:tcW w:type="dxa" w:w="294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8"/>
              </w:rPr>
              <w:t>先做数据诊断，再做现场验证，最后落到SKU与位置级动作。</w:t>
            </w:r>
          </w:p>
        </w:tc>
      </w:tr>
    </w:tbl>
    <w:p/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这套模板为什么比普通表格更有价值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不是简单记录现状，而是围绕“该不该改、优先改什么、改完要看什么”设计字段与判断口径。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每张表都兼顾三层使用对象：老板看经营判断、店长看执行动作、顾问看分析路径。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模板内部预设了典型的经营问题表达方式，避免只看数据、不形成管理结论。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更适合你当前的打法：先从饮料、休食等高频品类打透一个板块，再往全店放大。</w:t>
      </w:r>
    </w:p>
    <w:p>
      <w:pPr>
        <w:spacing w:before="16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30"/>
        </w:rPr>
        <w:t>一、商品价格带分析模板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1.1 模板定位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用于回答三个核心问题：价格带是否完整、各价格带销售/毛利/动销是否失衡、当前价格带是否匹配客群与竞争。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不是只看高低价分布，而是把价格带和商品角色、陈列资源、促销策略一起看。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特别适用于饮料、休食、乳品、熟食、散称干货等“价格认知强、替代性高”的板块。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1.2 顾问在这一模板里必须输出的判断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是否存在价格带断层：例如9.9-11.9之间没有主力走量商品，导致顾客选择跳档。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是否存在价格带过密：同一带内SKU过多，互相蚕食销量，却没有贡献额外结构价值。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是否存在价格带错位：高价值位置陈列了低产出价格带，或利润带商品得不到足够面位。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是否存在价格带与促销机制冲突：平销带、促销带、会员价带之间缺少清晰角色分工。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7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模块</w:t>
            </w:r>
          </w:p>
        </w:tc>
        <w:tc>
          <w:tcPr>
            <w:tcW w:type="dxa" w:w="2835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核心输出</w:t>
            </w:r>
          </w:p>
        </w:tc>
        <w:tc>
          <w:tcPr>
            <w:tcW w:type="dxa" w:w="232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常见错误</w:t>
            </w:r>
          </w:p>
        </w:tc>
        <w:tc>
          <w:tcPr>
            <w:tcW w:type="dxa" w:w="289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正确做法</w:t>
            </w:r>
          </w:p>
        </w:tc>
      </w:tr>
      <w:tr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价格带划分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按门店真实成交价而非标价划带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只按供价或建议零售价划带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以顾客实际支付价格形成可观察价格带</w:t>
            </w:r>
          </w:p>
        </w:tc>
      </w:tr>
      <w:tr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角色识别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识别引流带/走量带/利润带/机会带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把所有价格带都定义成走量带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每个价格带必须有清晰经营任务</w:t>
            </w:r>
          </w:p>
        </w:tc>
      </w:tr>
      <w:tr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竞争对照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与周边竞店主力带做横向比较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只看自己店内数据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判断价格带是否具备竞争力和防御力</w:t>
            </w:r>
          </w:p>
        </w:tc>
      </w:tr>
      <w:tr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动作建议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给出压缩/补强/换品/扩面建议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只有现状描述，没有动作</w:t>
            </w:r>
          </w:p>
        </w:tc>
        <w:tc>
          <w:tcPr>
            <w:tcW w:type="dxa" w:w="2521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把分析直接转成SKU和位置动作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注：先有价格带判断，后有SKU动作；不能直接凭感觉砍品。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77" w:bottom="850" w:left="1077" w:header="454" w:footer="454" w:gutter="0"/>
          <w:cols w:space="720"/>
          <w:docGrid w:linePitch="360"/>
        </w:sectPr>
      </w:pPr>
    </w:p>
    <w:p>
      <w:pPr>
        <w:spacing w:before="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26"/>
        </w:rPr>
        <w:t>一、商品价格带分析模板（主表）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3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价格带编号</w:t>
            </w:r>
          </w:p>
        </w:tc>
        <w:tc>
          <w:tcPr>
            <w:tcW w:type="dxa" w:w="136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价格带区间</w:t>
            </w:r>
          </w:p>
        </w:tc>
        <w:tc>
          <w:tcPr>
            <w:tcW w:type="dxa" w:w="175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主要消费定位</w:t>
            </w:r>
          </w:p>
        </w:tc>
        <w:tc>
          <w:tcPr>
            <w:tcW w:type="dxa" w:w="85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SKU数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销售额占比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毛利额占比</w:t>
            </w:r>
          </w:p>
        </w:tc>
        <w:tc>
          <w:tcPr>
            <w:tcW w:type="dxa" w:w="107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动销SKU占比</w:t>
            </w:r>
          </w:p>
        </w:tc>
        <w:tc>
          <w:tcPr>
            <w:tcW w:type="dxa" w:w="158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主力品牌/规格</w:t>
            </w:r>
          </w:p>
        </w:tc>
        <w:tc>
          <w:tcPr>
            <w:tcW w:type="dxa" w:w="124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当前角色判断</w:t>
            </w:r>
          </w:p>
        </w:tc>
        <w:tc>
          <w:tcPr>
            <w:tcW w:type="dxa" w:w="187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主要问题</w:t>
            </w:r>
          </w:p>
        </w:tc>
        <w:tc>
          <w:tcPr>
            <w:tcW w:type="dxa" w:w="181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建议动作</w:t>
            </w:r>
          </w:p>
        </w:tc>
        <w:tc>
          <w:tcPr>
            <w:tcW w:type="dxa" w:w="96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责任人</w:t>
            </w:r>
          </w:p>
        </w:tc>
      </w:tr>
      <w:tr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P1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≤4.9元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极致引流/便利补充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引流带/补充带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[填写：是否过弱、是否过密、是否低效]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[填写：保留/缩减/强化]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</w:tr>
      <w:tr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P2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5.0-7.9元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基础刚需/高频走量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走量带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[填写：是否形成主力成交带]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[填写：扩面/补品/促销推动]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</w:tr>
      <w:tr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P3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8.0-11.9元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主力价值带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走量带/利润带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[填写：是否断层、是否错配]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[填写：重点打造/品牌替换]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</w:tr>
      <w:tr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P4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12.0-15.9元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品质升级带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利润带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[填写：是否缺少代表商品]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[填写：扩充/精简/场景强化]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</w:tr>
      <w:tr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P5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≥16元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高端形象/机会带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形象带/机会带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[填写：是否占面过大]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[填写：控制SKU/保留形象款]</w:t>
            </w:r>
          </w:p>
        </w:tc>
        <w:tc>
          <w:tcPr>
            <w:tcW w:type="dxa" w:w="117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6"/>
              </w:rPr>
              <w:t>[填写]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注：建议先用门店真实销售价格做分带；如果促销价波动大，可单列“活动成交带”辅助观察。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1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检查项</w:t>
            </w:r>
          </w:p>
        </w:tc>
        <w:tc>
          <w:tcPr>
            <w:tcW w:type="dxa" w:w="238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判断标准</w:t>
            </w:r>
          </w:p>
        </w:tc>
        <w:tc>
          <w:tcPr>
            <w:tcW w:type="dxa" w:w="238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问题信号</w:t>
            </w:r>
          </w:p>
        </w:tc>
        <w:tc>
          <w:tcPr>
            <w:tcW w:type="dxa" w:w="3175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建议结论表达</w:t>
            </w:r>
          </w:p>
        </w:tc>
      </w:tr>
      <w:tr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价格带完整性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主力客单相关区间应连续可选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中间带缺失、顾客跳档严重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存在价格带断层，需要补齐主力带代表款</w:t>
            </w:r>
          </w:p>
        </w:tc>
      </w:tr>
      <w:tr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价格带密度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同一带内SKU数量与销售贡献相匹配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低贡献价格带SKU过多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同带过密，建议压缩冗余SKU</w:t>
            </w:r>
          </w:p>
        </w:tc>
      </w:tr>
      <w:tr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销售-毛利匹配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主力销售带不必等于主力毛利带，但两者应有合理协同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销售在低价带、毛利在高价带且缺少承接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需在中间带建立价值锚点</w:t>
            </w:r>
          </w:p>
        </w:tc>
      </w:tr>
      <w:tr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价格带与面位匹配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高产出带应获得相应陈列资源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高价值面位配置给低产出带</w:t>
            </w:r>
          </w:p>
        </w:tc>
        <w:tc>
          <w:tcPr>
            <w:tcW w:type="dxa" w:w="3535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建议重分配端架/堆头/冷柜面位</w:t>
            </w:r>
          </w:p>
        </w:tc>
      </w:tr>
    </w:tbl>
    <w:p/>
    <w:p>
      <w:pPr>
        <w:sectPr>
          <w:pgSz w:w="15840" w:h="12240" w:orient="landscape"/>
          <w:pgMar w:top="794" w:right="850" w:bottom="737" w:left="850" w:header="454" w:footer="397" w:gutter="0"/>
          <w:cols w:space="720"/>
          <w:docGrid w:linePitch="360"/>
        </w:sectPr>
      </w:pPr>
    </w:p>
    <w:p>
      <w:pPr>
        <w:spacing w:before="16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30"/>
        </w:rPr>
        <w:t>二、子品类结构诊断模板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2.1 模板定位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用于判断一个子品类内部是否存在“品牌冗余、规格错配、角色失衡、动销失真、资源浪费”等问题。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适合用在饮料-茶饮料、休食-薯片、散称-坚果等更细颗粒度的板块上。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它不是替代品类管理，而是把品类管理落到可见、可改、可复盘的子品类层面。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2.2 顶级咨询项目里，这张表必须回答的五个问题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这个子品类的主力品牌、主力规格、主力价格带是否清晰？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哪些SKU看似在卖，实则挤占了主力SKU的销售与面位？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哪些SKU应该承担引流、走量、利润、形象、补充、机会角色？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当前结构里最大的效率黑洞在哪里：品牌重复、规格内卷、价格冲突还是陈列冲突？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如果只允许做三件动作，最先动哪三件最能出结果？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7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诊断维度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要看什么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典型问题</w:t>
            </w:r>
          </w:p>
        </w:tc>
        <w:tc>
          <w:tcPr>
            <w:tcW w:type="dxa" w:w="323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应形成的管理结论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品牌结构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头部品牌贡献、长尾品牌价值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品牌过多但没有有效区隔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压缩长尾、突出头部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规格结构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小规格/中规格/家庭装的功能分工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规格打架，顾客选择混乱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明确便利装与家庭装边界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角色结构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引流/走量/利润/形象/补充是否齐备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全是走量，没有利润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建立角色组合而非单点爆品思维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效率结构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动销率、周转、毛利、位置产出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慢销SKU占位，头部SKU断货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削减低效SKU，保障高效SKU供给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注：所有结构诊断最终都必须落到SKU动作和位置动作。</w:t>
      </w:r>
    </w:p>
    <w:p>
      <w:pPr>
        <w:sectPr>
          <w:pgSz w:w="11906" w:h="16838"/>
          <w:pgMar w:top="1020" w:right="1077" w:bottom="850" w:left="1077" w:header="454" w:footer="397" w:gutter="0"/>
          <w:cols w:space="720"/>
          <w:docGrid w:linePitch="360"/>
        </w:sectPr>
      </w:pPr>
    </w:p>
    <w:p>
      <w:pPr>
        <w:spacing w:before="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26"/>
        </w:rPr>
        <w:t>二、子品类结构诊断模板（主表）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62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序号</w:t>
            </w:r>
          </w:p>
        </w:tc>
        <w:tc>
          <w:tcPr>
            <w:tcW w:type="dxa" w:w="124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子品类</w:t>
            </w:r>
          </w:p>
        </w:tc>
        <w:tc>
          <w:tcPr>
            <w:tcW w:type="dxa" w:w="119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品牌</w:t>
            </w:r>
          </w:p>
        </w:tc>
        <w:tc>
          <w:tcPr>
            <w:tcW w:type="dxa" w:w="130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规格/包装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价格带</w:t>
            </w:r>
          </w:p>
        </w:tc>
        <w:tc>
          <w:tcPr>
            <w:tcW w:type="dxa" w:w="141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角色定位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销售贡献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毛利贡献</w:t>
            </w:r>
          </w:p>
        </w:tc>
        <w:tc>
          <w:tcPr>
            <w:tcW w:type="dxa" w:w="96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动销状态</w:t>
            </w:r>
          </w:p>
        </w:tc>
        <w:tc>
          <w:tcPr>
            <w:tcW w:type="dxa" w:w="107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当前面位</w:t>
            </w:r>
          </w:p>
        </w:tc>
        <w:tc>
          <w:tcPr>
            <w:tcW w:type="dxa" w:w="170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结构问题判断</w:t>
            </w:r>
          </w:p>
        </w:tc>
        <w:tc>
          <w:tcPr>
            <w:tcW w:type="dxa" w:w="170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建议动作</w:t>
            </w:r>
          </w:p>
        </w:tc>
        <w:tc>
          <w:tcPr>
            <w:tcW w:type="dxa" w:w="68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优先级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1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引流/走量/利润/形象/补充/机会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高/中/低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[填写：重复、错位、低效、缺失]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[填写：保留/放大/缩面/替换/下架观察]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A/B/C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2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3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4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5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注：优先级建议：A = 立刻动；B = 伴随本轮调整推进；C = 暂观察。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结构观察点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判断方法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高频错误</w:t>
            </w:r>
          </w:p>
        </w:tc>
        <w:tc>
          <w:tcPr>
            <w:tcW w:type="dxa" w:w="323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建议话术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品牌是否冗余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看品牌数与品牌贡献是否匹配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为了“看起来丰富”堆太多弱品牌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品牌数量不是竞争力，品牌效率才是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规格是否打架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看相邻规格是否互相蚕食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100g、110g、120g全上，顾客感知差异弱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保留有清晰场景意义的规格组合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角色是否完整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看是否只有低价走量，缺利润和形象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所有SKU都想做主力，结果没人做主力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角色清晰比SKU多更重要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结构动作是否克制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优先做少数高影响动作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一次全砍全换，组织承载不了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先抓三件最能出结果的动作</w:t>
            </w:r>
          </w:p>
        </w:tc>
      </w:tr>
    </w:tbl>
    <w:p/>
    <w:p>
      <w:pPr>
        <w:sectPr>
          <w:pgSz w:w="16838" w:h="11906" w:orient="landscape"/>
          <w:pgMar w:top="794" w:right="850" w:bottom="737" w:left="850" w:header="454" w:footer="397" w:gutter="0"/>
          <w:cols w:space="720"/>
          <w:docGrid w:linePitch="360"/>
        </w:sectPr>
      </w:pPr>
    </w:p>
    <w:p>
      <w:pPr>
        <w:spacing w:before="16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30"/>
        </w:rPr>
        <w:t>三、陈列面配置模板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3.1 模板定位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用于判断有限的端架、堆头、冷柜、黄金层、普通层、前区等陈列资源，应该如何分配给不同商品角色与不同价格带。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核心理念不是“平均分面”，而是“按经营价值分配面位”。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特别适用于当前你要做的关键位置优化：端架、堆头、冷柜、收银前区、主通道截流位。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3.2 这张模板的核心价值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把“为什么这个商品值得占更多面位”讲清楚。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把“高价值位置该让给谁”从经验判断升级到数据支持。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把“陈列动作”与“销售、毛利、动销、断货、活动节奏”串起来。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1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位置类型</w:t>
            </w:r>
          </w:p>
        </w:tc>
        <w:tc>
          <w:tcPr>
            <w:tcW w:type="dxa" w:w="232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主要经营任务</w:t>
            </w:r>
          </w:p>
        </w:tc>
        <w:tc>
          <w:tcPr>
            <w:tcW w:type="dxa" w:w="2665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优先匹配商品</w:t>
            </w:r>
          </w:p>
        </w:tc>
        <w:tc>
          <w:tcPr>
            <w:tcW w:type="dxa" w:w="2665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不建议放置的商品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端架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抓主力成交与重点活动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主力走量带、重点活动商品、利润与销量兼顾商品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长期低动销、无主题商品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堆头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做放量与情绪化购买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大包装、应季热点、引流爆品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小规格弱单品、无量无势商品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冷柜黄金层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提高即饮转化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高频即饮、主力便利价带、明星单品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慢销高价试探款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收银前区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做冲动购买与补充购买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小规格、即食、低决策商品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家庭装、需比较型商品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注：每一种位置都应该有明确经营任务，不能把“哪里空着就放哪里”当成陈列逻辑。</w:t>
      </w:r>
    </w:p>
    <w:p>
      <w:pPr>
        <w:sectPr>
          <w:pgSz w:w="11906" w:h="16838"/>
          <w:pgMar w:top="1020" w:right="1077" w:bottom="850" w:left="1077" w:header="454" w:footer="397" w:gutter="0"/>
          <w:cols w:space="720"/>
          <w:docGrid w:linePitch="360"/>
        </w:sectPr>
      </w:pPr>
    </w:p>
    <w:p>
      <w:pPr>
        <w:spacing w:before="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26"/>
        </w:rPr>
        <w:t>三、陈列面配置模板（主表）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96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位置编号</w:t>
            </w:r>
          </w:p>
        </w:tc>
        <w:tc>
          <w:tcPr>
            <w:tcW w:type="dxa" w:w="119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位置类型</w:t>
            </w:r>
          </w:p>
        </w:tc>
        <w:tc>
          <w:tcPr>
            <w:tcW w:type="dxa" w:w="96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当前位置价值</w:t>
            </w:r>
          </w:p>
        </w:tc>
        <w:tc>
          <w:tcPr>
            <w:tcW w:type="dxa" w:w="147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当前SKU/组合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当前价格带</w:t>
            </w:r>
          </w:p>
        </w:tc>
        <w:tc>
          <w:tcPr>
            <w:tcW w:type="dxa" w:w="102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当前角色</w:t>
            </w:r>
          </w:p>
        </w:tc>
        <w:tc>
          <w:tcPr>
            <w:tcW w:type="dxa" w:w="90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销售产出</w:t>
            </w:r>
          </w:p>
        </w:tc>
        <w:tc>
          <w:tcPr>
            <w:tcW w:type="dxa" w:w="90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毛利产出</w:t>
            </w:r>
          </w:p>
        </w:tc>
        <w:tc>
          <w:tcPr>
            <w:tcW w:type="dxa" w:w="119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断货/补货风险</w:t>
            </w:r>
          </w:p>
        </w:tc>
        <w:tc>
          <w:tcPr>
            <w:tcW w:type="dxa" w:w="170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建议配置原则</w:t>
            </w:r>
          </w:p>
        </w:tc>
        <w:tc>
          <w:tcPr>
            <w:tcW w:type="dxa" w:w="850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建议面位数</w:t>
            </w:r>
          </w:p>
        </w:tc>
        <w:tc>
          <w:tcPr>
            <w:tcW w:type="dxa" w:w="147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执行动作</w:t>
            </w:r>
          </w:p>
        </w:tc>
        <w:tc>
          <w:tcPr>
            <w:tcW w:type="dxa" w:w="1191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复盘指标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L1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端架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高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[填写：主力走量+利润协同]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[填写：换品/扩面/重排]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销售额/毛利额/动销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L2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堆头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高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[填写：放量+季节热点]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堆头产出/售罄率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L3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冷柜黄金层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高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[填写：高频即饮主力带]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转化/缺货/单层产出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L4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普通层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中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[填写：补充与完整性承接]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动销覆盖/补货效率</w:t>
            </w:r>
          </w:p>
        </w:tc>
      </w:tr>
      <w:tr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L5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前区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高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[填写：低决策冲动购]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06060"/>
                <w:sz w:val="15"/>
              </w:rPr>
              <w:t>[填写]</w:t>
            </w:r>
          </w:p>
        </w:tc>
        <w:tc>
          <w:tcPr>
            <w:tcW w:type="dxa" w:w="116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5"/>
              </w:rPr>
              <w:t>附加购/动销速度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注：建议配置原则必须写成决策句，而不是描述句，例如“端架优先承载主力走量带+重点活动商品”。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58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面位配置检查项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健康状态</w:t>
            </w:r>
          </w:p>
        </w:tc>
        <w:tc>
          <w:tcPr>
            <w:tcW w:type="dxa" w:w="226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异常信号</w:t>
            </w:r>
          </w:p>
        </w:tc>
        <w:tc>
          <w:tcPr>
            <w:tcW w:type="dxa" w:w="311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建议动作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高价值位置产出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贡献与位置价值基本匹配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端架/堆头产出不如普通层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重新评估占位商品与活动主题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面位与角色匹配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引流、走量、利润、形象各有承载位置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利润商品没有足够可见度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为高毛利高认知商品争取黄金可视面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面位与价格带匹配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主力价格带获得足够展示深度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高价值位置陈列边缘价格带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将主力成交带向前、向上、向强位置迁移</w:t>
            </w:r>
          </w:p>
        </w:tc>
      </w:tr>
      <w:tr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补货承载能力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高价值位置不断货，执行节奏稳定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重点位经常断货或摆不满</w:t>
            </w:r>
          </w:p>
        </w:tc>
        <w:tc>
          <w:tcPr>
            <w:tcW w:type="dxa" w:w="3784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6"/>
              </w:rPr>
              <w:t>同步优化补货责任与检查表</w:t>
            </w:r>
          </w:p>
        </w:tc>
      </w:tr>
    </w:tbl>
    <w:p/>
    <w:p>
      <w:pPr>
        <w:sectPr>
          <w:pgSz w:w="16838" w:h="11906" w:orient="landscape"/>
          <w:pgMar w:top="794" w:right="850" w:bottom="737" w:left="850" w:header="454" w:footer="397" w:gutter="0"/>
          <w:cols w:space="720"/>
          <w:docGrid w:linePitch="360"/>
        </w:sectPr>
      </w:pPr>
    </w:p>
    <w:p>
      <w:pPr>
        <w:spacing w:before="16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30"/>
        </w:rPr>
        <w:t>四、顾问使用说明：如何把三套模板连起来用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247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步骤</w:t>
            </w:r>
          </w:p>
        </w:tc>
        <w:tc>
          <w:tcPr>
            <w:tcW w:type="dxa" w:w="3572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应做什么</w:t>
            </w:r>
          </w:p>
        </w:tc>
        <w:tc>
          <w:tcPr>
            <w:tcW w:type="dxa" w:w="2098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输出物</w:t>
            </w:r>
          </w:p>
        </w:tc>
        <w:tc>
          <w:tcPr>
            <w:tcW w:type="dxa" w:w="2494"/>
            <w:vAlign w:val="center"/>
            <w:shd w:fill="DCE6F1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B3F6B"/>
                <w:sz w:val="17"/>
              </w:rPr>
              <w:t>项目价值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步骤1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先做价格带分析，判断主力带和结构断层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价格带分析主表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明确门店当前“卖什么价带”是否清晰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步骤2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再做子品类结构诊断，锁定SKU级问题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子品类诊断主表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明确“哪些SKU值得保、扩、砍、换”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步骤3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最后做陈列面配置，把资源让给高价值商品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陈列面配置主表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把结构优化真正转化成销售结果</w:t>
            </w:r>
          </w:p>
        </w:tc>
      </w:tr>
      <w:tr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步骤4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周复盘与结项复盘同步跟进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周复盘表/结项报告</w:t>
            </w:r>
          </w:p>
        </w:tc>
        <w:tc>
          <w:tcPr>
            <w:tcW w:type="dxa" w:w="2438"/>
            <w:vAlign w:val="center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62626"/>
                <w:sz w:val="17"/>
              </w:rPr>
              <w:t>保证动作持续并可复制</w:t>
            </w:r>
          </w:p>
        </w:tc>
      </w:tr>
    </w:tbl>
    <w:p>
      <w:pPr>
        <w:spacing w:before="20" w:after="100" w:line="288" w:lineRule="auto"/>
      </w:pPr>
      <w:r>
        <w:rPr>
          <w:rFonts w:ascii="Noto Sans CJK SC" w:hAnsi="Noto Sans CJK SC" w:eastAsia="Noto Sans CJK SC" w:cs="Noto Sans CJK SC"/>
          <w:b w:val="0"/>
          <w:i/>
          <w:color w:val="606060"/>
          <w:sz w:val="18"/>
        </w:rPr>
        <w:t>注：三套模板不是并列关系，而是判断链条。</w:t>
      </w:r>
    </w:p>
    <w:p>
      <w:pPr>
        <w:spacing w:before="120" w:after="40" w:line="288" w:lineRule="auto"/>
      </w:pPr>
      <w:r>
        <w:rPr>
          <w:rFonts w:ascii="Noto Sans CJK SC" w:hAnsi="Noto Sans CJK SC" w:eastAsia="Noto Sans CJK SC" w:cs="Noto Sans CJK SC"/>
          <w:b/>
          <w:i w:val="0"/>
          <w:color w:val="262626"/>
          <w:sz w:val="23"/>
        </w:rPr>
        <w:t>建议你在项目里这样呈现结论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先给一句总判断：例如“当前饮料子品类的核心问题不是SKU少，而是主力价格带断层、高价值面位错配、低效SKU挤占空间”。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再给三条重点动作：例如“补齐8-11元主力带代表款；压缩低贡献长尾SKU；把端架从低价带迁移到主力走量带”。</w:t>
      </w:r>
    </w:p>
    <w:p>
      <w:pPr>
        <w:pStyle w:val="ListBullet"/>
        <w:spacing w:after="40" w:line="276" w:lineRule="auto"/>
        <w:ind w:left="283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最后给两个观察指标：例如“重点位产出变化、主力价格带销售占比变化”。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  <w:shd w:fill="1B3F6B"/>
            <w:tcBorders>
              <w:left w:val="single" w:sz="6" w:space="0" w:color="C4D2E5"/>
              <w:top w:val="single" w:sz="6" w:space="0" w:color="C4D2E5"/>
              <w:right w:val="single" w:sz="6" w:space="0" w:color="C4D2E5"/>
              <w:bottom w:val="single" w:sz="6" w:space="0" w:color="C4D2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4"/>
              </w:rPr>
              <w:t>结语</w:t>
            </w:r>
          </w:p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F0F4F8"/>
                <w:sz w:val="17"/>
              </w:rPr>
              <w:t>真正高标准的模板，不在于复杂，而在于帮助你更快做对判断、做对动作、拿到结果</w:t>
            </w:r>
          </w:p>
        </w:tc>
      </w:tr>
    </w:tbl>
    <w:p>
      <w:pPr>
        <w:spacing w:before="120" w:after="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B3F6B"/>
          <w:sz w:val="21"/>
        </w:rPr>
        <w:t>这套模板的核心目标，不是让报告更厚，而是让决策更准、动作更少、结果更快。</w:t>
      </w:r>
    </w:p>
    <w:p>
      <w:pPr>
        <w:spacing w:before="0" w:after="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2626"/>
          <w:sz w:val="20"/>
        </w:rPr>
        <w:t>当你把价格带、子品类结构、陈列资源三件事真正打通后，你的“商品力模型”就不再停留在理念层，而会变成一套可以不断复制、不断扩店、不断打磨的实战系统。</w:t>
      </w:r>
    </w:p>
    <w:sectPr w:rsidR="00FC693F" w:rsidRPr="0006063C" w:rsidSect="00034616">
      <w:pgSz w:w="11906" w:h="16838"/>
      <w:pgMar w:top="1020" w:right="1077" w:bottom="850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 w:cs="Noto Sans CJK SC"/>
        <w:b w:val="0"/>
        <w:i w:val="0"/>
        <w:color w:val="606060"/>
        <w:sz w:val="16"/>
      </w:rPr>
      <w:t>内部专业模板 - 适用于商品诊断、结构优化与陈列提效项目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 w:cs="Noto Sans CJK SC"/>
        <w:b w:val="0"/>
        <w:i w:val="0"/>
        <w:color w:val="606060"/>
        <w:sz w:val="16"/>
      </w:rPr>
      <w:t>社区超市30天商品提效包 | 顶级咨询标准模板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