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商品诊断报告</w:t>
      </w:r>
    </w:p>
    <w:p>
      <w:pPr>
        <w:jc w:val="center"/>
      </w:pPr>
      <w:r>
        <w:rPr>
          <w:sz w:val="26"/>
        </w:rPr>
        <w:t>社区超市30天商品提效包 · 内部诊断报告模板</w:t>
      </w:r>
    </w:p>
    <w:p/>
    <w:p>
      <w:pPr>
        <w:jc w:val="center"/>
      </w:pPr>
      <w:r>
        <w:t>项目名称：{{项目名称}}</w:t>
      </w:r>
    </w:p>
    <w:p>
      <w:pPr>
        <w:jc w:val="center"/>
      </w:pPr>
      <w:r>
        <w:t>门店名称：{{门店名称}}</w:t>
      </w:r>
    </w:p>
    <w:p>
      <w:pPr>
        <w:jc w:val="center"/>
      </w:pPr>
      <w:r>
        <w:t>诊断周期：{{诊断周期}}</w:t>
      </w:r>
    </w:p>
    <w:p>
      <w:pPr>
        <w:jc w:val="center"/>
      </w:pPr>
      <w:r>
        <w:t>诊断品类：{{诊断品类}}</w:t>
      </w:r>
    </w:p>
    <w:p>
      <w:pPr>
        <w:jc w:val="center"/>
      </w:pPr>
      <w:r>
        <w:t>顾问姓名：{{顾问姓名}}</w:t>
      </w:r>
    </w:p>
    <w:p>
      <w:pPr>
        <w:jc w:val="center"/>
      </w:pPr>
      <w:r>
        <w:t>报告日期：{{报告日期}}</w:t>
      </w:r>
    </w:p>
    <w:p>
      <w:pPr>
        <w:jc w:val="center"/>
      </w:pPr>
      <w:r>
        <w:t>版本号：{{版本号}}</w:t>
      </w:r>
    </w:p>
    <w:p>
      <w:pPr>
        <w:jc w:val="center"/>
      </w:pPr>
      <w:r>
        <w:rPr>
          <w:b/>
          <w:color w:val="C00000"/>
        </w:rPr>
        <w:t>【内部使用 internal_only · 不直接发客户】</w:t>
      </w:r>
    </w:p>
    <w:p/>
    <w:p>
      <w:pPr>
        <w:jc w:val="center"/>
      </w:pPr>
      <w:r>
        <w:t>晟果新零售｜30天商品提效包</w:t>
      </w:r>
    </w:p>
    <w:p>
      <w:r>
        <w:br w:type="page"/>
      </w:r>
    </w:p>
    <w:p>
      <w:pPr>
        <w:pStyle w:val="Heading1"/>
      </w:pPr>
      <w:r>
        <w:t>1. 报告使用说明</w:t>
      </w:r>
    </w:p>
    <w:p>
      <w:r>
        <w:t>本报告用途：30天商品提效项目正式诊断阶段的内部商品诊断模板，承接客户启动确认，输出商品问题诊断、机会判断与 SKU动作输入，为 DisplayMap / 周复盘 / 结项报告提供上游依据。</w:t>
      </w:r>
    </w:p>
    <w:p>
      <w:r>
        <w:t>适用范围：社区超市/生活超市单店或多店小连锁的重点品类商品诊断。</w:t>
      </w:r>
    </w:p>
    <w:p>
      <w:r>
        <w:t>数据边界：本报告结论基于客户提供资料与现场观察，数据完整度影响结论强度（见 §3）。</w:t>
      </w:r>
    </w:p>
    <w:p>
      <w:r>
        <w:rPr>
          <w:b/>
        </w:rPr>
        <w:t>风险提示：本报告不构成业绩承诺，不替代合同/报价单，不替代客户经营决策。internal_only，未经脱敏不得直接发客户（客户版另行生成，见 §17）。</w:t>
      </w:r>
    </w:p>
    <w:p>
      <w:pPr>
        <w:pStyle w:val="Heading1"/>
      </w:pPr>
      <w:r>
        <w:t>2. 项目背景与诊断范围</w:t>
      </w:r>
    </w:p>
    <w:p>
      <w:r>
        <w:t>项目名称：{{项目名称}}</w:t>
      </w:r>
    </w:p>
    <w:p>
      <w:r>
        <w:t>门店名称：{{门店名称}}</w:t>
      </w:r>
    </w:p>
    <w:p>
      <w:r>
        <w:t>诊断周期：{{诊断周期}}</w:t>
      </w:r>
    </w:p>
    <w:p>
      <w:r>
        <w:t>诊断品类：{{诊断品类}}</w:t>
      </w:r>
    </w:p>
    <w:p>
      <w:r>
        <w:t>诊断范围：{{诊断范围}}</w:t>
      </w:r>
    </w:p>
    <w:p>
      <w:r>
        <w:t>本次不覆盖范围：{{本次不覆盖范围}}</w:t>
      </w:r>
    </w:p>
    <w:p>
      <w:pPr>
        <w:pStyle w:val="Heading1"/>
      </w:pPr>
      <w:r>
        <w:t>3. 资料完整度与数据可信度</w:t>
      </w:r>
    </w:p>
    <w:p>
      <w:r>
        <w:t>数据可信度：{{数据可信度}}（A高/B较高/C一般/D较低/E不足）</w:t>
      </w:r>
    </w:p>
    <w:p>
      <w:r>
        <w:t>【表1 资料完整度表】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资料项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是否已收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是否需补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【表3 数据可信度表】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数据项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有/无/部分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可信度(A-E)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对结论影响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4. 门店商品问题总览</w:t>
      </w:r>
    </w:p>
    <w:p>
      <w:r>
        <w:t>核心问题摘要：{{核心问题摘要}}</w:t>
      </w:r>
    </w:p>
    <w:p>
      <w:r>
        <w:t>【表2 问题总览表】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问题编号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问题分级(P0/P1/P2/待确认)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证据来源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是否进入SKU动作表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5. SKU结构问题诊断</w:t>
      </w:r>
    </w:p>
    <w:p>
      <w:r>
        <w:t>诊断维度：SKU宽度 / 重复度 / 缺口 / 长尾 / 待淘汰 / 待引进。</w:t>
      </w:r>
    </w:p>
    <w:p>
      <w:r>
        <w:t>【表4 SKU结构诊断表】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子品类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SKU宽度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重复度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缺口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长尾占比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结构性问题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建议方向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1"/>
      </w:pPr>
      <w:r>
        <w:t>6. 价格带与毛利问题诊断</w:t>
      </w:r>
    </w:p>
    <w:p>
      <w:r>
        <w:rPr>
          <w:i/>
        </w:rPr>
        <w:t>提示：本模板不得填入真实进价/毛利/销售额；用分档或占位表达。</w:t>
      </w:r>
    </w:p>
    <w:p>
      <w:r>
        <w:t>【表5 价格带与毛利诊断表】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价格段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覆盖情况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是否断层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毛利异常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特价/负毛利风险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机会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7. 动销与库存问题诊断</w:t>
      </w:r>
    </w:p>
    <w:p>
      <w:r>
        <w:t>【表6 动销与库存诊断表】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子品类/SKU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动销分档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库存分档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高销低库存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低销高库存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缺货/滞销风险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数据不足项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1"/>
      </w:pPr>
      <w:r>
        <w:t>8. 商品角色与品类角色诊断</w:t>
      </w:r>
    </w:p>
    <w:p>
      <w:r>
        <w:t>商品角色沿用 10 类（引流品/利润品/形象品/高频便利品/补充品/季节品/节日品/长尾观察品/待淘汰品/待引进品），不新增。</w:t>
      </w:r>
    </w:p>
    <w:p>
      <w:r>
        <w:t>【表7 商品角色诊断表】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SKU/商品(脱敏)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商品角色(10类)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典型特征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建议方向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9. 陈列与 DisplayMap 机会判断</w:t>
      </w:r>
    </w:p>
    <w:p>
      <w:r>
        <w:rPr>
          <w:i/>
        </w:rPr>
        <w:t>提示：此处只输出陈列机会判断；不生成真实货架图；不给缺数据场景下的精确货位；缺现场照片/货架/层位/排面时标记“待陈列数据”。</w:t>
      </w:r>
    </w:p>
    <w:p>
      <w:r>
        <w:t>【表8 DisplayMap 机会表】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是否进入DisplayMap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陈列机会方向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待陈列数据标记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10. 误判防线复核</w:t>
      </w:r>
    </w:p>
    <w:p>
      <w:r>
        <w:t>误判防线沿用 11 类，不新增。</w:t>
      </w:r>
    </w:p>
    <w:p>
      <w:r>
        <w:t>【表9 误判防线复核表】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序号/误判防线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是否触发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复核结论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是否影响动作结论</w:t>
            </w:r>
          </w:p>
        </w:tc>
      </w:tr>
      <w:tr>
        <w:tc>
          <w:tcPr>
            <w:tcW w:type="dxa" w:w="2160"/>
          </w:tcPr>
          <w:p>
            <w:r>
              <w:t>①新品保护期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②季节/节日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③缺货导致低销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④陈列位置差导致低销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⑤价格异常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⑥规格不适配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⑦数据缺失/POS分类错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⑧非显性需求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⑨供应商临时问题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⑩促销期异常高销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⑪负毛利/特价清仓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11. SKU动作输入清单</w:t>
      </w:r>
    </w:p>
    <w:p>
      <w:r>
        <w:t>说明：本清单不是正式 SKU动作建议表，仅为诊断报告输出给 SKU动作建议表的输入。初步建议方向沿用 SKU动作 10 类（保留/放大/缩面/调价/换位/补货/观察/淘汰/引进/待确认），不新增。</w:t>
      </w:r>
    </w:p>
    <w:p>
      <w:r>
        <w:t>【表10 SKU动作输入清单】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SKU/商品(脱敏)</w:t>
            </w:r>
          </w:p>
        </w:tc>
        <w:tc>
          <w:tcPr>
            <w:tcW w:type="dxa" w:w="96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960"/>
          </w:tcPr>
          <w:p>
            <w:r>
              <w:rPr>
                <w:b/>
              </w:rPr>
              <w:t>证据来源</w:t>
            </w:r>
          </w:p>
        </w:tc>
        <w:tc>
          <w:tcPr>
            <w:tcW w:type="dxa" w:w="960"/>
          </w:tcPr>
          <w:p>
            <w:r>
              <w:rPr>
                <w:b/>
              </w:rPr>
              <w:t>初步建议方向(10类)</w:t>
            </w:r>
          </w:p>
        </w:tc>
        <w:tc>
          <w:tcPr>
            <w:tcW w:type="dxa" w:w="960"/>
          </w:tcPr>
          <w:p>
            <w:r>
              <w:rPr>
                <w:b/>
              </w:rPr>
              <w:t>商品角色</w:t>
            </w:r>
          </w:p>
        </w:tc>
        <w:tc>
          <w:tcPr>
            <w:tcW w:type="dxa" w:w="960"/>
          </w:tcPr>
          <w:p>
            <w:r>
              <w:rPr>
                <w:b/>
              </w:rPr>
              <w:t>是否进入SKU动作表</w:t>
            </w:r>
          </w:p>
        </w:tc>
        <w:tc>
          <w:tcPr>
            <w:tcW w:type="dxa" w:w="960"/>
          </w:tcPr>
          <w:p>
            <w:r>
              <w:rPr>
                <w:b/>
              </w:rPr>
              <w:t>是否进入DisplayMap</w:t>
            </w:r>
          </w:p>
        </w:tc>
        <w:tc>
          <w:tcPr>
            <w:tcW w:type="dxa" w:w="960"/>
          </w:tcPr>
          <w:p>
            <w:r>
              <w:rPr>
                <w:b/>
              </w:rPr>
              <w:t>是否待补数据</w:t>
            </w:r>
          </w:p>
        </w:tc>
        <w:tc>
          <w:tcPr>
            <w:tcW w:type="dxa" w:w="9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pStyle w:val="Heading1"/>
      </w:pPr>
      <w:r>
        <w:t>12. 优先级排序</w:t>
      </w:r>
    </w:p>
    <w:p>
      <w:r>
        <w:t>【表11 优先级排序表】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优先级(P0/P1/P2/待补数据)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对应问题/SKU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处理窗口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13. 机会清单</w:t>
      </w:r>
    </w:p>
    <w:p>
      <w:r>
        <w:rPr>
          <w:i/>
        </w:rPr>
        <w:t>提示：此处为诊断机会，不等于最终 SKU动作。</w:t>
      </w:r>
    </w:p>
    <w:p>
      <w:r>
        <w:t>【表12 机会清单】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机会编号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机会类型(补货/放大/缩面/换位/淘汰/引进/观察/调价)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机会描述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涉及品类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推荐方向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是否进入SKU动作表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14. 项目风险与边界</w:t>
      </w:r>
    </w:p>
    <w:p>
      <w:r>
        <w:t>【表13 项目风险与边界表】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风险类型(数据/执行/客户配合/供应商/季节节日)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表现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应对建议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风险提示：不承诺业绩增长；不替代客户经营决策；不承诺全店问题一次解决。本报告聚焦商品问题识别、动作建议方向与诊断结论。</w:t>
      </w:r>
    </w:p>
    <w:p>
      <w:pPr>
        <w:pStyle w:val="Heading1"/>
      </w:pPr>
      <w:r>
        <w:t>15. 下一步工作建议</w:t>
      </w:r>
    </w:p>
    <w:p>
      <w:r>
        <w:t>下一步动作建议：{{下一步动作建议}}</w:t>
      </w:r>
    </w:p>
    <w:p>
      <w:r>
        <w:t>【表14 下一步工作建议表】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下一步(进入SKU动作表/DisplayMap/周复盘/待补资料/暂缓判断)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16. 附录 A：字段口径</w:t>
      </w:r>
    </w:p>
    <w:p>
      <w:r>
        <w:t>SKU动作 10 类：保留 / 放大 / 缩面 / 调价 / 换位 / 补货 / 观察 / 淘汰 / 引进 / 待确认。</w:t>
      </w:r>
    </w:p>
    <w:p>
      <w:r>
        <w:t>商品角色 10 类：引流品 / 利润品 / 形象品 / 高频便利品 / 补充品 / 季节品 / 节日品 / 长尾观察品 / 待淘汰品 / 待引进品。</w:t>
      </w:r>
    </w:p>
    <w:p>
      <w:r>
        <w:t>误判防线 11 类：新品保护期 / 季节·节日 / 缺货导致低销 / 陈列位置差导致低销 / 价格异常 / 规格不适配 / 数据缺失·POS分类错 / 非显性需求 / 供应商临时问题 / 促销期异常高销 / 负毛利·特价清仓。</w:t>
      </w:r>
    </w:p>
    <w:p>
      <w:r>
        <w:t>DisplayMap 待陈列数据口径：缺现场照片/货架编号/层位/排面/动线/库存/销售数据时，标记“待陈列数据”，不给精确货位；缺什么不做什么判断。</w:t>
      </w:r>
    </w:p>
    <w:p>
      <w:r>
        <w:t>数据来源：客户商品档案 / 销售·库存·毛利(分档脱敏) / 现场照片 / 店长反馈 / 顾问判断。</w:t>
      </w:r>
    </w:p>
    <w:p>
      <w:pPr>
        <w:pStyle w:val="Heading1"/>
      </w:pPr>
      <w:r>
        <w:t>17. 附录 B：脱敏与客户版生成规则</w:t>
      </w:r>
    </w:p>
    <w:p>
      <w:r>
        <w:t>1. 内部版（本模板）internal_only，不直接发客户。</w:t>
      </w:r>
    </w:p>
    <w:p>
      <w:r>
        <w:t>2. 客户版需另行生成（商品诊断报告_客户版模板_v0.1.docx），不从内部版直接外发。</w:t>
      </w:r>
    </w:p>
    <w:p>
      <w:r>
        <w:t>3. 客户版需删除/改写：内部判断痕迹、内部风险等级、过强问题定性、未证实推断、顾问内部提示。</w:t>
      </w:r>
    </w:p>
    <w:p>
      <w:r>
        <w:t>4. 客户版需删除：AI/Claude/Obsidian/Git 痕迹、RetailOS/M-DEC/三力等内部术语。</w:t>
      </w:r>
    </w:p>
    <w:p>
      <w:r>
        <w:t>5. 客户版不得包含：未脱敏 SKU/销售额/毛利、真实条码、业绩承诺。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版本号 {{版本号}}　|　第 X 页 / 共 Y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晟果新零售｜30天商品提效包（内部使用）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