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结项报告</w:t>
      </w:r>
    </w:p>
    <w:p>
      <w:pPr>
        <w:jc w:val="center"/>
      </w:pPr>
      <w:r>
        <w:rPr>
          <w:sz w:val="26"/>
        </w:rPr>
        <w:t>社区超市30天商品提效包 · 内部结项报告模板</w:t>
      </w:r>
    </w:p>
    <w:p/>
    <w:p>
      <w:pPr>
        <w:jc w:val="center"/>
      </w:pPr>
      <w:r>
        <w:t>项目名称：{{项目名称}}</w:t>
      </w:r>
    </w:p>
    <w:p>
      <w:pPr>
        <w:jc w:val="center"/>
      </w:pPr>
      <w:r>
        <w:t>门店名称：{{门店名称}}</w:t>
      </w:r>
    </w:p>
    <w:p>
      <w:pPr>
        <w:jc w:val="center"/>
      </w:pPr>
      <w:r>
        <w:t>诊断品类：{{诊断品类}}</w:t>
      </w:r>
    </w:p>
    <w:p>
      <w:pPr>
        <w:jc w:val="center"/>
      </w:pPr>
      <w:r>
        <w:t>项目周期：{{项目周期}}</w:t>
      </w:r>
    </w:p>
    <w:p>
      <w:pPr>
        <w:jc w:val="center"/>
      </w:pPr>
      <w:r>
        <w:t>顾问姓名：{{顾问姓名}}</w:t>
      </w:r>
    </w:p>
    <w:p>
      <w:pPr>
        <w:jc w:val="center"/>
      </w:pPr>
      <w:r>
        <w:t>报告日期：{{报告日期}}</w:t>
      </w:r>
    </w:p>
    <w:p>
      <w:pPr>
        <w:jc w:val="center"/>
      </w:pPr>
      <w:r>
        <w:t>版本号：{{版本号}}</w:t>
      </w:r>
    </w:p>
    <w:p>
      <w:pPr>
        <w:jc w:val="center"/>
      </w:pPr>
      <w:r>
        <w:rPr>
          <w:b/>
          <w:color w:val="C00000"/>
        </w:rPr>
        <w:t>【内部使用 internal_only · 不直接发客户】</w:t>
      </w:r>
    </w:p>
    <w:p/>
    <w:p>
      <w:pPr>
        <w:jc w:val="center"/>
      </w:pPr>
      <w:r>
        <w:t>晟果新零售｜30天商品提效包</w:t>
      </w:r>
    </w:p>
    <w:p>
      <w:r>
        <w:br w:type="page"/>
      </w:r>
    </w:p>
    <w:p>
      <w:pPr>
        <w:pStyle w:val="Heading1"/>
      </w:pPr>
      <w:r>
        <w:t>1. 报告使用说明</w:t>
      </w:r>
    </w:p>
    <w:p>
      <w:r>
        <w:t>本报告用途：30天商品提效项目结项阶段的内部结项报告模板，总结诊断、动作、执行、复盘、成果与后续建议，承接周复盘结果。</w:t>
      </w:r>
    </w:p>
    <w:p>
      <w:r>
        <w:t>适用范围：社区超市/生活超市单店或多店小连锁的 30 天阶段项目收口。</w:t>
      </w:r>
    </w:p>
    <w:p>
      <w:r>
        <w:t>填写边界：成果只述本轮观察到的变化，不下因果性收益结论。</w:t>
      </w:r>
    </w:p>
    <w:p>
      <w:r>
        <w:rPr>
          <w:b/>
        </w:rPr>
        <w:t>风险提示：本报告不构成业绩承诺，不替代合同/报价单，不替代客户经营决策。internal_only，未脱敏不得直接发客户（客户版另行生成，见 §18）。</w:t>
      </w:r>
    </w:p>
    <w:p>
      <w:pPr>
        <w:pStyle w:val="Heading1"/>
      </w:pPr>
      <w:r>
        <w:t>2. 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t>字段含：项目名称{{项目名称}} / 门店名称{{门店名称}} / 诊断品类{{诊断品类}} / 项目周期{{项目周期}} / 顾问姓名{{顾问姓名}} / 报告日期{{报告日期}} / 版本号{{版本号}} / 本次覆盖范围{{本次覆盖范围}} / 本次不覆盖范围{{本次不覆盖范围}}</w:t>
      </w:r>
    </w:p>
    <w:p>
      <w:pPr>
        <w:pStyle w:val="Heading1"/>
      </w:pPr>
      <w:r>
        <w:t>3. 项目目标与原始问题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原始问题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问题来源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诊断依据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对应交付动作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是否纳入本轮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4. 本轮交付内容总览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交付模块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完成状态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关联文件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5. 数据与现场资料回顾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是否收到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完整度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可信度(A-E)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对诊断影响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6. SKU动作执行结果</w:t>
      </w:r>
    </w:p>
    <w:p>
      <w:r>
        <w:t>动作类型沿用 10 类：保留/放大/缩面/调价/换位/补货/观察/淘汰/引进/待确认，不新增。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动作类型(10类)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SKU数量(占位)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已执行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未执行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暂缓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主要原因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pStyle w:val="Heading1"/>
      </w:pPr>
      <w:r>
        <w:t>7. DisplayMap与陈列动作执行结果</w:t>
      </w:r>
    </w:p>
    <w:p>
      <w:r>
        <w:rPr>
          <w:i/>
        </w:rPr>
        <w:t>提示：保留“待陈列数据”口径，缺数据不得硬填精确货位。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货架/区域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原问题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建议动作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执行状态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待陈列数据状态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现场复核结果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pStyle w:val="Heading1"/>
      </w:pPr>
      <w:r>
        <w:t>8. 价格带与毛利结构复盘</w:t>
      </w:r>
    </w:p>
    <w:p>
      <w:r>
        <w:rPr>
          <w:i/>
        </w:rPr>
        <w:t>提示：不填真实进价/毛利/销售额，用分档或占位。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子品类/价格带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原问题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调整动作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复盘观察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下一步建议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9. 动销与库存复盘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问题类型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原诊断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执行动作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复盘结果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是否需要继续观察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下一步建议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10. 误判防线复盘</w:t>
      </w:r>
    </w:p>
    <w:p>
      <w:r>
        <w:t>误判防线沿用 11 类，不新增。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误判防线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本轮是否触发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复核结论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后续处理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t>①新品保护期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②季节/节日因素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③缺货导致低销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④陈列位置差导致低销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⑤价格异常导致低销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⑥规格不适配导致低销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⑦数据缺失/POS分类错误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⑧非显性需求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⑨供应商临时问题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⑩促销期异常高销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⑪负毛利/特价清仓误判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11. 7天 / 15天 / 30天复盘摘要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复盘节点(7/15/30天)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观察重点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主要发现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已修正动作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未解决问题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下一步动作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12. 客户执行情况复盘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客户责任项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执行状态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需客户继续完成事项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13. 晟果交付情况复盘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晟果责任项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完成状态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输出成果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待补事项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14. 项目成果摘要</w:t>
      </w:r>
    </w:p>
    <w:p>
      <w:r>
        <w:rPr>
          <w:b/>
        </w:rPr>
        <w:t>风险提示：不得写业绩承诺；不得写“必然提升/保证改善/一定增长/确保提升”。只述本轮观察到的变化。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成果类型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本轮观察到的变化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证据来源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可信度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是否建议继续跟踪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15. 未解决问题与风险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未解决问题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建议处理方式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责任方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16. 下一阶段建议</w:t>
      </w:r>
    </w:p>
    <w:p>
      <w:r>
        <w:t>方向可含：90天品类改造 / 年度商品力陪跑 / 多店复制 / DisplayMap深化 / 组织力复盘机制 / 数据工具化。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下一阶段方向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建议动作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预计周期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所需条件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17. 附录 A：字段与口径</w:t>
      </w:r>
    </w:p>
    <w:p>
      <w:r>
        <w:t>SKU动作 10 类：保留/放大/缩面/调价/换位/补货/观察/淘汰/引进/待确认。</w:t>
      </w:r>
    </w:p>
    <w:p>
      <w:r>
        <w:t>商品角色 10 类：引流品/利润品/形象品/高频便利品/补充品/季节品/节日品/长尾观察品/待淘汰品/待引进品。</w:t>
      </w:r>
    </w:p>
    <w:p>
      <w:r>
        <w:t>误判防线 11 类：见 §10。</w:t>
      </w:r>
    </w:p>
    <w:p>
      <w:r>
        <w:t>数据可信度：A高/B较高/C一般/D较低/E不足。</w:t>
      </w:r>
    </w:p>
    <w:p>
      <w:r>
        <w:t>待陈列数据：缺现场照片/货架/层位/排面/动线/库存/销售数据时标记“待陈列数据”，不给精确货位。</w:t>
      </w:r>
    </w:p>
    <w:p>
      <w:r>
        <w:t>内部/客户版分版规则：见 §18。</w:t>
      </w:r>
    </w:p>
    <w:p>
      <w:pPr>
        <w:pStyle w:val="Heading1"/>
      </w:pPr>
      <w:r>
        <w:t>18. 附录 B：脱敏与客户版规则</w:t>
      </w:r>
    </w:p>
    <w:p>
      <w:r>
        <w:t>1. 内部版可保留诊断过程、证据来源、方法判断。</w:t>
      </w:r>
    </w:p>
    <w:p>
      <w:r>
        <w:t>2. 客户版需删除内部方法术语、AI协作痕迹、Git/Obsidian/Claude 痕迹。</w:t>
      </w:r>
    </w:p>
    <w:p>
      <w:r>
        <w:t>3. 客户版不得暴露内部裁决规则细节。</w:t>
      </w:r>
    </w:p>
    <w:p>
      <w:r>
        <w:t>4. 客户版不得承诺业绩结果。</w:t>
      </w:r>
    </w:p>
    <w:p>
      <w:r>
        <w:t>5. 若后续导出 PDF，必须另开客户版/PDF 专项。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版本号 {{版本号}}　|　第 X 页 / 共 Y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晟果新零售｜30天商品提效包（内部使用）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